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E6F" w:rsidRPr="00E23FD8" w:rsidRDefault="00FF33A7" w:rsidP="000274D0">
      <w:pPr>
        <w:adjustRightInd w:val="0"/>
        <w:snapToGrid w:val="0"/>
        <w:spacing w:line="300" w:lineRule="auto"/>
        <w:jc w:val="left"/>
        <w:rPr>
          <w:rFonts w:ascii="Times New Roman" w:eastAsia="黑体" w:hAnsi="Times New Roman"/>
          <w:sz w:val="32"/>
          <w:szCs w:val="32"/>
        </w:rPr>
      </w:pPr>
      <w:r w:rsidRPr="00E23FD8">
        <w:rPr>
          <w:rFonts w:ascii="Times New Roman" w:eastAsia="黑体" w:hAnsi="Times New Roman"/>
          <w:sz w:val="32"/>
          <w:szCs w:val="32"/>
        </w:rPr>
        <w:t>附件</w:t>
      </w:r>
      <w:r w:rsidR="009133F1">
        <w:rPr>
          <w:rFonts w:ascii="Times New Roman" w:eastAsia="黑体" w:hAnsi="Times New Roman" w:hint="eastAsia"/>
          <w:sz w:val="32"/>
          <w:szCs w:val="32"/>
        </w:rPr>
        <w:t>1</w:t>
      </w:r>
    </w:p>
    <w:p w:rsidR="00FF1E6F" w:rsidRPr="00E23FD8" w:rsidRDefault="00FF1E6F" w:rsidP="000274D0">
      <w:pPr>
        <w:adjustRightInd w:val="0"/>
        <w:snapToGrid w:val="0"/>
        <w:spacing w:line="300" w:lineRule="auto"/>
        <w:jc w:val="center"/>
        <w:rPr>
          <w:rFonts w:ascii="Times New Roman" w:hAnsi="Times New Roman"/>
          <w:b/>
          <w:sz w:val="44"/>
          <w:szCs w:val="44"/>
        </w:rPr>
      </w:pPr>
    </w:p>
    <w:p w:rsidR="00FF1E6F" w:rsidRPr="00E23FD8" w:rsidRDefault="00FF1E6F" w:rsidP="000274D0">
      <w:pPr>
        <w:adjustRightInd w:val="0"/>
        <w:snapToGrid w:val="0"/>
        <w:spacing w:line="300" w:lineRule="auto"/>
        <w:jc w:val="center"/>
        <w:rPr>
          <w:rFonts w:ascii="Times New Roman" w:hAnsi="Times New Roman"/>
          <w:b/>
          <w:sz w:val="44"/>
          <w:szCs w:val="44"/>
        </w:rPr>
      </w:pPr>
    </w:p>
    <w:p w:rsidR="00FF1E6F" w:rsidRPr="00E23FD8" w:rsidRDefault="00FF1E6F" w:rsidP="000274D0">
      <w:pPr>
        <w:adjustRightInd w:val="0"/>
        <w:snapToGrid w:val="0"/>
        <w:spacing w:line="300" w:lineRule="auto"/>
        <w:jc w:val="center"/>
        <w:rPr>
          <w:rFonts w:ascii="Times New Roman" w:hAnsi="Times New Roman"/>
          <w:b/>
          <w:sz w:val="44"/>
          <w:szCs w:val="44"/>
        </w:rPr>
      </w:pPr>
    </w:p>
    <w:p w:rsidR="0033485B" w:rsidRPr="00E23FD8" w:rsidRDefault="0033485B" w:rsidP="000274D0">
      <w:pPr>
        <w:adjustRightInd w:val="0"/>
        <w:snapToGrid w:val="0"/>
        <w:spacing w:line="300" w:lineRule="auto"/>
        <w:jc w:val="center"/>
        <w:rPr>
          <w:rFonts w:ascii="Times New Roman" w:hAnsi="Times New Roman"/>
          <w:b/>
          <w:sz w:val="44"/>
          <w:szCs w:val="44"/>
        </w:rPr>
      </w:pPr>
    </w:p>
    <w:p w:rsidR="00D87966" w:rsidRPr="00E23FD8" w:rsidRDefault="00D87966" w:rsidP="000274D0">
      <w:pPr>
        <w:adjustRightInd w:val="0"/>
        <w:snapToGrid w:val="0"/>
        <w:spacing w:line="300" w:lineRule="auto"/>
        <w:jc w:val="center"/>
        <w:rPr>
          <w:rFonts w:ascii="Times New Roman" w:hAnsi="Times New Roman"/>
          <w:b/>
          <w:sz w:val="44"/>
          <w:szCs w:val="44"/>
        </w:rPr>
      </w:pPr>
    </w:p>
    <w:p w:rsidR="00FF1E6F" w:rsidRPr="00E23FD8" w:rsidRDefault="00276B75" w:rsidP="000274D0">
      <w:pPr>
        <w:adjustRightInd w:val="0"/>
        <w:snapToGrid w:val="0"/>
        <w:spacing w:line="300" w:lineRule="auto"/>
        <w:jc w:val="center"/>
        <w:rPr>
          <w:rFonts w:ascii="Times New Roman" w:eastAsia="方正小标宋简体" w:hAnsi="Times New Roman"/>
          <w:sz w:val="48"/>
          <w:szCs w:val="48"/>
        </w:rPr>
      </w:pPr>
      <w:r w:rsidRPr="00E23FD8">
        <w:rPr>
          <w:rFonts w:ascii="Times New Roman" w:eastAsia="方正小标宋简体" w:hAnsi="Times New Roman"/>
          <w:sz w:val="48"/>
          <w:szCs w:val="48"/>
        </w:rPr>
        <w:t>化学原料药行业清洁生产评价指标体系</w:t>
      </w:r>
    </w:p>
    <w:p w:rsidR="00276B75" w:rsidRPr="00E23FD8" w:rsidRDefault="00276B75" w:rsidP="000274D0">
      <w:pPr>
        <w:adjustRightInd w:val="0"/>
        <w:snapToGrid w:val="0"/>
        <w:spacing w:line="300" w:lineRule="auto"/>
        <w:jc w:val="center"/>
        <w:rPr>
          <w:rFonts w:ascii="Times New Roman" w:eastAsia="方正小标宋简体" w:hAnsi="Times New Roman"/>
          <w:sz w:val="48"/>
          <w:szCs w:val="48"/>
        </w:rPr>
      </w:pPr>
      <w:r w:rsidRPr="00E23FD8">
        <w:rPr>
          <w:rFonts w:ascii="Times New Roman" w:eastAsia="方正小标宋简体" w:hAnsi="Times New Roman"/>
          <w:sz w:val="48"/>
          <w:szCs w:val="48"/>
        </w:rPr>
        <w:t>（</w:t>
      </w:r>
      <w:r w:rsidR="009F0DEB" w:rsidRPr="00E23FD8">
        <w:rPr>
          <w:rFonts w:ascii="Times New Roman" w:eastAsia="方正小标宋简体" w:hAnsi="Times New Roman"/>
          <w:sz w:val="48"/>
          <w:szCs w:val="48"/>
        </w:rPr>
        <w:t>征求意见</w:t>
      </w:r>
      <w:r w:rsidR="0033485B" w:rsidRPr="00E23FD8">
        <w:rPr>
          <w:rFonts w:ascii="Times New Roman" w:eastAsia="方正小标宋简体" w:hAnsi="Times New Roman"/>
          <w:sz w:val="48"/>
          <w:szCs w:val="48"/>
        </w:rPr>
        <w:t>稿</w:t>
      </w:r>
      <w:r w:rsidRPr="00E23FD8">
        <w:rPr>
          <w:rFonts w:ascii="Times New Roman" w:eastAsia="方正小标宋简体" w:hAnsi="Times New Roman"/>
          <w:sz w:val="48"/>
          <w:szCs w:val="48"/>
        </w:rPr>
        <w:t>）</w:t>
      </w:r>
    </w:p>
    <w:p w:rsidR="00276B75" w:rsidRPr="00E23FD8" w:rsidRDefault="00276B75" w:rsidP="000274D0">
      <w:pPr>
        <w:autoSpaceDE w:val="0"/>
        <w:autoSpaceDN w:val="0"/>
        <w:adjustRightInd w:val="0"/>
        <w:snapToGrid w:val="0"/>
        <w:spacing w:line="300" w:lineRule="auto"/>
        <w:jc w:val="center"/>
        <w:rPr>
          <w:rFonts w:ascii="Times New Roman" w:hAnsi="Times New Roman"/>
          <w:color w:val="000000"/>
          <w:kern w:val="0"/>
          <w:sz w:val="24"/>
          <w:szCs w:val="24"/>
        </w:rPr>
      </w:pPr>
    </w:p>
    <w:p w:rsidR="00FF1E6F" w:rsidRPr="00E23FD8" w:rsidRDefault="00FF1E6F" w:rsidP="000274D0">
      <w:pPr>
        <w:autoSpaceDE w:val="0"/>
        <w:autoSpaceDN w:val="0"/>
        <w:adjustRightInd w:val="0"/>
        <w:snapToGrid w:val="0"/>
        <w:spacing w:line="300" w:lineRule="auto"/>
        <w:jc w:val="center"/>
        <w:rPr>
          <w:rFonts w:ascii="Times New Roman" w:hAnsi="Times New Roman"/>
          <w:color w:val="000000"/>
          <w:kern w:val="0"/>
          <w:sz w:val="24"/>
          <w:szCs w:val="24"/>
        </w:rPr>
      </w:pPr>
    </w:p>
    <w:p w:rsidR="00FF1E6F" w:rsidRPr="00E23FD8" w:rsidRDefault="00FF1E6F" w:rsidP="000274D0">
      <w:pPr>
        <w:autoSpaceDE w:val="0"/>
        <w:autoSpaceDN w:val="0"/>
        <w:adjustRightInd w:val="0"/>
        <w:snapToGrid w:val="0"/>
        <w:spacing w:line="300" w:lineRule="auto"/>
        <w:jc w:val="center"/>
        <w:rPr>
          <w:rFonts w:ascii="Times New Roman" w:hAnsi="Times New Roman"/>
          <w:color w:val="000000"/>
          <w:kern w:val="0"/>
          <w:sz w:val="24"/>
          <w:szCs w:val="24"/>
        </w:rPr>
      </w:pPr>
    </w:p>
    <w:p w:rsidR="00FF1E6F" w:rsidRPr="00E23FD8" w:rsidRDefault="00FF1E6F" w:rsidP="000274D0">
      <w:pPr>
        <w:autoSpaceDE w:val="0"/>
        <w:autoSpaceDN w:val="0"/>
        <w:adjustRightInd w:val="0"/>
        <w:snapToGrid w:val="0"/>
        <w:spacing w:line="300" w:lineRule="auto"/>
        <w:jc w:val="center"/>
        <w:rPr>
          <w:rFonts w:ascii="Times New Roman" w:hAnsi="Times New Roman"/>
          <w:color w:val="000000"/>
          <w:kern w:val="0"/>
          <w:sz w:val="24"/>
          <w:szCs w:val="24"/>
        </w:rPr>
      </w:pPr>
    </w:p>
    <w:p w:rsidR="009F0DEB" w:rsidRPr="00E23FD8" w:rsidRDefault="009F0DEB" w:rsidP="000274D0">
      <w:pPr>
        <w:adjustRightInd w:val="0"/>
        <w:snapToGrid w:val="0"/>
        <w:spacing w:line="300" w:lineRule="auto"/>
        <w:jc w:val="center"/>
        <w:rPr>
          <w:rFonts w:ascii="Times New Roman" w:eastAsia="黑体" w:hAnsi="Times New Roman"/>
          <w:b/>
          <w:bCs/>
          <w:szCs w:val="21"/>
        </w:rPr>
      </w:pPr>
    </w:p>
    <w:p w:rsidR="009F0DEB" w:rsidRPr="00E23FD8" w:rsidRDefault="009F0DEB" w:rsidP="000274D0">
      <w:pPr>
        <w:adjustRightInd w:val="0"/>
        <w:snapToGrid w:val="0"/>
        <w:spacing w:line="300" w:lineRule="auto"/>
        <w:jc w:val="center"/>
        <w:rPr>
          <w:rFonts w:ascii="Times New Roman" w:eastAsia="黑体" w:hAnsi="Times New Roman"/>
          <w:sz w:val="32"/>
          <w:szCs w:val="32"/>
        </w:rPr>
      </w:pPr>
    </w:p>
    <w:p w:rsidR="00D87966" w:rsidRPr="00E23FD8" w:rsidRDefault="00D87966" w:rsidP="000274D0">
      <w:pPr>
        <w:adjustRightInd w:val="0"/>
        <w:snapToGrid w:val="0"/>
        <w:spacing w:line="300" w:lineRule="auto"/>
        <w:jc w:val="center"/>
        <w:rPr>
          <w:rFonts w:ascii="Times New Roman" w:eastAsia="黑体" w:hAnsi="Times New Roman"/>
          <w:sz w:val="32"/>
          <w:szCs w:val="32"/>
        </w:rPr>
      </w:pPr>
    </w:p>
    <w:p w:rsidR="009F0DEB" w:rsidRPr="00E23FD8" w:rsidRDefault="009F0DEB" w:rsidP="000274D0">
      <w:pPr>
        <w:adjustRightInd w:val="0"/>
        <w:snapToGrid w:val="0"/>
        <w:spacing w:line="300" w:lineRule="auto"/>
        <w:jc w:val="center"/>
        <w:rPr>
          <w:rFonts w:ascii="Times New Roman" w:eastAsia="黑体" w:hAnsi="Times New Roman"/>
          <w:sz w:val="32"/>
          <w:szCs w:val="32"/>
        </w:rPr>
        <w:sectPr w:rsidR="009F0DEB" w:rsidRPr="00E23FD8" w:rsidSect="003E7DBF">
          <w:headerReference w:type="even" r:id="rId8"/>
          <w:footerReference w:type="even" r:id="rId9"/>
          <w:footerReference w:type="default" r:id="rId10"/>
          <w:pgSz w:w="11906" w:h="16838"/>
          <w:pgMar w:top="1440" w:right="1474" w:bottom="1440" w:left="1588" w:header="851" w:footer="1247" w:gutter="0"/>
          <w:cols w:space="720"/>
          <w:titlePg/>
          <w:docGrid w:type="lines" w:linePitch="380"/>
        </w:sectPr>
      </w:pPr>
    </w:p>
    <w:p w:rsidR="00F14A88" w:rsidRPr="004B1EC4" w:rsidRDefault="00F14A88" w:rsidP="000274D0">
      <w:pPr>
        <w:autoSpaceDE w:val="0"/>
        <w:autoSpaceDN w:val="0"/>
        <w:adjustRightInd w:val="0"/>
        <w:snapToGrid w:val="0"/>
        <w:spacing w:line="300" w:lineRule="auto"/>
        <w:jc w:val="center"/>
        <w:rPr>
          <w:rFonts w:ascii="Times New Roman" w:eastAsia="黑体" w:hAnsi="Times New Roman"/>
          <w:sz w:val="32"/>
          <w:szCs w:val="32"/>
          <w:lang w:val="zh-CN"/>
        </w:rPr>
      </w:pPr>
    </w:p>
    <w:p w:rsidR="0035073F" w:rsidRPr="004B1EC4" w:rsidRDefault="0035073F" w:rsidP="000274D0">
      <w:pPr>
        <w:keepNext/>
        <w:adjustRightInd w:val="0"/>
        <w:snapToGrid w:val="0"/>
        <w:spacing w:line="300" w:lineRule="auto"/>
        <w:jc w:val="center"/>
        <w:rPr>
          <w:rFonts w:ascii="Times New Roman" w:eastAsia="黑体" w:hAnsi="Times New Roman"/>
          <w:bCs/>
          <w:sz w:val="32"/>
          <w:szCs w:val="32"/>
        </w:rPr>
      </w:pPr>
      <w:r w:rsidRPr="004B1EC4">
        <w:rPr>
          <w:rFonts w:ascii="Times New Roman" w:eastAsia="黑体" w:hAnsi="Times New Roman"/>
          <w:bCs/>
          <w:sz w:val="32"/>
          <w:szCs w:val="32"/>
        </w:rPr>
        <w:t>目次</w:t>
      </w:r>
    </w:p>
    <w:p w:rsidR="00F14A88" w:rsidRPr="00E23FD8" w:rsidRDefault="00F14A88" w:rsidP="000274D0">
      <w:pPr>
        <w:autoSpaceDE w:val="0"/>
        <w:autoSpaceDN w:val="0"/>
        <w:adjustRightInd w:val="0"/>
        <w:snapToGrid w:val="0"/>
        <w:spacing w:line="300" w:lineRule="auto"/>
        <w:jc w:val="center"/>
        <w:rPr>
          <w:rFonts w:ascii="Times New Roman" w:eastAsia="黑体" w:hAnsi="Times New Roman"/>
          <w:sz w:val="32"/>
          <w:szCs w:val="32"/>
          <w:lang w:val="zh-CN"/>
        </w:rPr>
      </w:pPr>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r w:rsidRPr="00E23FD8">
        <w:rPr>
          <w:rFonts w:ascii="Times New Roman" w:hAnsi="Times New Roman"/>
          <w:sz w:val="32"/>
          <w:szCs w:val="32"/>
        </w:rPr>
        <w:fldChar w:fldCharType="begin"/>
      </w:r>
      <w:r w:rsidR="005639D6" w:rsidRPr="00E23FD8">
        <w:rPr>
          <w:rFonts w:ascii="Times New Roman" w:hAnsi="Times New Roman"/>
          <w:sz w:val="32"/>
          <w:szCs w:val="32"/>
        </w:rPr>
        <w:instrText xml:space="preserve"> TOC \o "1-1" \h \z \u </w:instrText>
      </w:r>
      <w:r w:rsidRPr="00E23FD8">
        <w:rPr>
          <w:rFonts w:ascii="Times New Roman" w:hAnsi="Times New Roman"/>
          <w:sz w:val="32"/>
          <w:szCs w:val="32"/>
        </w:rPr>
        <w:fldChar w:fldCharType="separate"/>
      </w:r>
      <w:hyperlink w:anchor="_Toc462389130" w:history="1">
        <w:r w:rsidR="005639D6" w:rsidRPr="00E23FD8">
          <w:rPr>
            <w:rStyle w:val="a7"/>
            <w:rFonts w:ascii="Times New Roman" w:eastAsiaTheme="minorEastAsia" w:hAnsi="Times New Roman"/>
            <w:noProof/>
            <w:kern w:val="0"/>
          </w:rPr>
          <w:t>前言</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_Toc462389130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II</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1" w:history="1">
        <w:r w:rsidR="005639D6" w:rsidRPr="00E23FD8">
          <w:rPr>
            <w:rStyle w:val="a7"/>
            <w:rFonts w:ascii="Times New Roman" w:eastAsiaTheme="minorEastAsia" w:hAnsi="Times New Roman"/>
            <w:noProof/>
          </w:rPr>
          <w:t>1</w:t>
        </w:r>
        <w:r w:rsidR="005639D6" w:rsidRPr="00E23FD8">
          <w:rPr>
            <w:rStyle w:val="a7"/>
            <w:rFonts w:ascii="Times New Roman" w:eastAsiaTheme="minorEastAsia" w:hAnsi="Times New Roman"/>
            <w:noProof/>
          </w:rPr>
          <w:t>适用范围</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_Toc462389131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1</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2" w:history="1">
        <w:r w:rsidR="005639D6" w:rsidRPr="00E23FD8">
          <w:rPr>
            <w:rStyle w:val="a7"/>
            <w:rFonts w:ascii="Times New Roman" w:eastAsiaTheme="minorEastAsia" w:hAnsi="Times New Roman"/>
            <w:noProof/>
          </w:rPr>
          <w:t>2</w:t>
        </w:r>
        <w:r w:rsidR="005639D6" w:rsidRPr="00E23FD8">
          <w:rPr>
            <w:rStyle w:val="a7"/>
            <w:rFonts w:ascii="Times New Roman" w:eastAsiaTheme="minorEastAsia" w:hAnsi="Times New Roman"/>
            <w:noProof/>
          </w:rPr>
          <w:t>规范性引用文件</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_Toc462389132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1</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3" w:history="1">
        <w:r w:rsidR="005639D6" w:rsidRPr="00E23FD8">
          <w:rPr>
            <w:rStyle w:val="a7"/>
            <w:rFonts w:ascii="Times New Roman" w:eastAsiaTheme="minorEastAsia" w:hAnsi="Times New Roman"/>
            <w:noProof/>
          </w:rPr>
          <w:t>3</w:t>
        </w:r>
        <w:r w:rsidR="005639D6" w:rsidRPr="00E23FD8">
          <w:rPr>
            <w:rStyle w:val="a7"/>
            <w:rFonts w:ascii="Times New Roman" w:eastAsiaTheme="minorEastAsia" w:hAnsi="Times New Roman"/>
            <w:noProof/>
          </w:rPr>
          <w:t>术语和定义</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_Toc462389133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1</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4" w:history="1">
        <w:r w:rsidR="005639D6" w:rsidRPr="00E23FD8">
          <w:rPr>
            <w:rStyle w:val="a7"/>
            <w:rFonts w:ascii="Times New Roman" w:eastAsiaTheme="minorEastAsia" w:hAnsi="Times New Roman"/>
            <w:noProof/>
          </w:rPr>
          <w:t xml:space="preserve">4 </w:t>
        </w:r>
        <w:r w:rsidR="005639D6" w:rsidRPr="00E23FD8">
          <w:rPr>
            <w:rStyle w:val="a7"/>
            <w:rFonts w:ascii="Times New Roman" w:eastAsiaTheme="minorEastAsia" w:hAnsi="Times New Roman"/>
            <w:noProof/>
          </w:rPr>
          <w:t>评价指标体系</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_Toc462389134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2</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5" w:history="1">
        <w:r w:rsidR="005639D6" w:rsidRPr="00E23FD8">
          <w:rPr>
            <w:rStyle w:val="a7"/>
            <w:rFonts w:ascii="Times New Roman" w:eastAsiaTheme="minorEastAsia" w:hAnsi="Times New Roman"/>
            <w:noProof/>
          </w:rPr>
          <w:t xml:space="preserve">5 </w:t>
        </w:r>
        <w:r w:rsidR="005639D6" w:rsidRPr="00E23FD8">
          <w:rPr>
            <w:rStyle w:val="a7"/>
            <w:rFonts w:ascii="Times New Roman" w:eastAsiaTheme="minorEastAsia" w:hAnsi="Times New Roman"/>
            <w:noProof/>
          </w:rPr>
          <w:t>评价方法</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_Toc462389135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10</w:t>
        </w:r>
        <w:r w:rsidRPr="00E23FD8">
          <w:rPr>
            <w:rFonts w:ascii="Times New Roman" w:eastAsiaTheme="minorEastAsia" w:hAnsi="Times New Roman"/>
            <w:noProof/>
            <w:webHidden/>
          </w:rPr>
          <w:fldChar w:fldCharType="end"/>
        </w:r>
      </w:hyperlink>
    </w:p>
    <w:p w:rsidR="005639D6" w:rsidRPr="00E23FD8" w:rsidRDefault="00B30BDC" w:rsidP="000274D0">
      <w:pPr>
        <w:pStyle w:val="10"/>
        <w:tabs>
          <w:tab w:val="right" w:leader="dot" w:pos="8664"/>
        </w:tabs>
        <w:adjustRightInd w:val="0"/>
        <w:snapToGrid w:val="0"/>
        <w:spacing w:line="300" w:lineRule="auto"/>
        <w:rPr>
          <w:rFonts w:ascii="Times New Roman" w:eastAsiaTheme="minorEastAsia" w:hAnsi="Times New Roman"/>
          <w:noProof/>
        </w:rPr>
      </w:pPr>
      <w:hyperlink w:anchor="_Toc462389136" w:history="1">
        <w:r w:rsidR="005639D6" w:rsidRPr="00E23FD8">
          <w:rPr>
            <w:rStyle w:val="a7"/>
            <w:rFonts w:ascii="Times New Roman" w:eastAsiaTheme="minorEastAsia" w:hAnsi="Times New Roman"/>
            <w:noProof/>
          </w:rPr>
          <w:t xml:space="preserve">6 </w:t>
        </w:r>
        <w:r w:rsidR="005639D6" w:rsidRPr="00E23FD8">
          <w:rPr>
            <w:rStyle w:val="a7"/>
            <w:rFonts w:ascii="Times New Roman" w:eastAsiaTheme="minorEastAsia" w:hAnsi="Times New Roman"/>
            <w:noProof/>
          </w:rPr>
          <w:t>指标核算与数据来源</w:t>
        </w:r>
        <w:r w:rsidR="005639D6" w:rsidRPr="00E23FD8">
          <w:rPr>
            <w:rFonts w:ascii="Times New Roman" w:eastAsiaTheme="minorEastAsia" w:hAnsi="Times New Roman"/>
            <w:noProof/>
            <w:webHidden/>
          </w:rPr>
          <w:tab/>
        </w:r>
        <w:r w:rsidRPr="00E23FD8">
          <w:rPr>
            <w:rFonts w:ascii="Times New Roman" w:eastAsiaTheme="minorEastAsia" w:hAnsi="Times New Roman"/>
            <w:noProof/>
            <w:webHidden/>
          </w:rPr>
          <w:fldChar w:fldCharType="begin"/>
        </w:r>
        <w:r w:rsidR="005639D6" w:rsidRPr="00E23FD8">
          <w:rPr>
            <w:rFonts w:ascii="Times New Roman" w:eastAsiaTheme="minorEastAsia" w:hAnsi="Times New Roman"/>
            <w:noProof/>
            <w:webHidden/>
          </w:rPr>
          <w:instrText xml:space="preserve"> PAGEREF _Toc462389136 \h </w:instrText>
        </w:r>
        <w:r w:rsidRPr="00E23FD8">
          <w:rPr>
            <w:rFonts w:ascii="Times New Roman" w:eastAsiaTheme="minorEastAsia" w:hAnsi="Times New Roman"/>
            <w:noProof/>
            <w:webHidden/>
          </w:rPr>
        </w:r>
        <w:r w:rsidRPr="00E23FD8">
          <w:rPr>
            <w:rFonts w:ascii="Times New Roman" w:eastAsiaTheme="minorEastAsia" w:hAnsi="Times New Roman"/>
            <w:noProof/>
            <w:webHidden/>
          </w:rPr>
          <w:fldChar w:fldCharType="separate"/>
        </w:r>
        <w:r w:rsidR="005639D6" w:rsidRPr="00E23FD8">
          <w:rPr>
            <w:rFonts w:ascii="Times New Roman" w:eastAsiaTheme="minorEastAsia" w:hAnsi="Times New Roman"/>
            <w:noProof/>
            <w:webHidden/>
          </w:rPr>
          <w:t>11</w:t>
        </w:r>
        <w:r w:rsidRPr="00E23FD8">
          <w:rPr>
            <w:rFonts w:ascii="Times New Roman" w:eastAsiaTheme="minorEastAsia" w:hAnsi="Times New Roman"/>
            <w:noProof/>
            <w:webHidden/>
          </w:rPr>
          <w:fldChar w:fldCharType="end"/>
        </w:r>
      </w:hyperlink>
    </w:p>
    <w:p w:rsidR="008739F4" w:rsidRPr="00E23FD8" w:rsidRDefault="00B30BDC" w:rsidP="000274D0">
      <w:pPr>
        <w:adjustRightInd w:val="0"/>
        <w:snapToGrid w:val="0"/>
        <w:spacing w:line="300" w:lineRule="auto"/>
        <w:rPr>
          <w:rFonts w:ascii="Times New Roman" w:hAnsi="Times New Roman"/>
        </w:rPr>
      </w:pPr>
      <w:r w:rsidRPr="00E23FD8">
        <w:rPr>
          <w:rFonts w:ascii="Times New Roman" w:hAnsi="Times New Roman"/>
          <w:sz w:val="32"/>
          <w:szCs w:val="32"/>
        </w:rPr>
        <w:fldChar w:fldCharType="end"/>
      </w:r>
    </w:p>
    <w:p w:rsidR="00484AF6" w:rsidRPr="00E23FD8" w:rsidRDefault="00484AF6" w:rsidP="000274D0">
      <w:pPr>
        <w:autoSpaceDE w:val="0"/>
        <w:autoSpaceDN w:val="0"/>
        <w:adjustRightInd w:val="0"/>
        <w:snapToGrid w:val="0"/>
        <w:spacing w:line="300" w:lineRule="auto"/>
        <w:jc w:val="center"/>
        <w:rPr>
          <w:rFonts w:ascii="Times New Roman" w:hAnsi="Times New Roman"/>
          <w:color w:val="000000"/>
          <w:kern w:val="0"/>
          <w:sz w:val="24"/>
          <w:szCs w:val="24"/>
        </w:rPr>
      </w:pPr>
      <w:r w:rsidRPr="00E23FD8">
        <w:rPr>
          <w:rFonts w:ascii="Times New Roman" w:hAnsi="Times New Roman"/>
          <w:color w:val="000000"/>
          <w:kern w:val="0"/>
          <w:sz w:val="24"/>
          <w:szCs w:val="24"/>
        </w:rPr>
        <w:br w:type="page"/>
      </w:r>
    </w:p>
    <w:p w:rsidR="00276B75" w:rsidRPr="004B1EC4" w:rsidRDefault="00276B75" w:rsidP="000274D0">
      <w:pPr>
        <w:pStyle w:val="1"/>
        <w:adjustRightInd w:val="0"/>
        <w:snapToGrid w:val="0"/>
        <w:spacing w:before="0" w:after="0" w:line="300" w:lineRule="auto"/>
        <w:jc w:val="center"/>
        <w:rPr>
          <w:rFonts w:ascii="黑体" w:eastAsia="黑体" w:hAnsi="黑体"/>
          <w:b w:val="0"/>
          <w:kern w:val="0"/>
          <w:sz w:val="32"/>
          <w:szCs w:val="32"/>
        </w:rPr>
      </w:pPr>
      <w:bookmarkStart w:id="0" w:name="_Toc368639111"/>
      <w:bookmarkStart w:id="1" w:name="_Toc456896864"/>
      <w:bookmarkStart w:id="2" w:name="_Toc462389130"/>
      <w:r w:rsidRPr="004B1EC4">
        <w:rPr>
          <w:rFonts w:ascii="黑体" w:eastAsia="黑体" w:hAnsi="黑体"/>
          <w:b w:val="0"/>
          <w:kern w:val="0"/>
          <w:sz w:val="32"/>
          <w:szCs w:val="32"/>
        </w:rPr>
        <w:lastRenderedPageBreak/>
        <w:t>前言</w:t>
      </w:r>
      <w:bookmarkEnd w:id="0"/>
      <w:bookmarkEnd w:id="1"/>
      <w:bookmarkEnd w:id="2"/>
    </w:p>
    <w:p w:rsidR="00F653A2" w:rsidRPr="00E23FD8" w:rsidRDefault="00F653A2" w:rsidP="000274D0">
      <w:pPr>
        <w:autoSpaceDE w:val="0"/>
        <w:autoSpaceDN w:val="0"/>
        <w:adjustRightInd w:val="0"/>
        <w:snapToGrid w:val="0"/>
        <w:spacing w:line="300" w:lineRule="auto"/>
        <w:ind w:firstLine="480"/>
        <w:rPr>
          <w:rFonts w:ascii="Times New Roman" w:eastAsiaTheme="minorEastAsia" w:hAnsi="Times New Roman"/>
          <w:color w:val="000000"/>
          <w:kern w:val="0"/>
          <w:szCs w:val="21"/>
        </w:rPr>
      </w:pPr>
    </w:p>
    <w:p w:rsidR="00276B75" w:rsidRPr="00E23FD8" w:rsidRDefault="004261AB" w:rsidP="000274D0">
      <w:pPr>
        <w:autoSpaceDE w:val="0"/>
        <w:autoSpaceDN w:val="0"/>
        <w:adjustRightInd w:val="0"/>
        <w:snapToGrid w:val="0"/>
        <w:spacing w:line="300" w:lineRule="auto"/>
        <w:ind w:firstLineChars="200" w:firstLine="420"/>
        <w:jc w:val="left"/>
        <w:rPr>
          <w:rFonts w:ascii="Times New Roman" w:eastAsiaTheme="minorEastAsia" w:hAnsi="Times New Roman"/>
          <w:color w:val="000000"/>
          <w:kern w:val="0"/>
          <w:szCs w:val="21"/>
        </w:rPr>
      </w:pPr>
      <w:r w:rsidRPr="00E23FD8">
        <w:rPr>
          <w:rFonts w:ascii="Times New Roman" w:eastAsiaTheme="minorEastAsia" w:hAnsi="Times New Roman"/>
          <w:color w:val="000000"/>
          <w:kern w:val="0"/>
          <w:szCs w:val="21"/>
        </w:rPr>
        <w:t>为贯彻《中华人民共和国环境保护法》和《中华人民共和国清洁生产促进法》，指导和推动化学原料药企业依法实施清洁生产，提高资源利用率，减少和避免污染物的产生，保护和改善环境，制定化学原料药行业清洁生产评价指标体系（以下简称</w:t>
      </w:r>
      <w:r w:rsidRPr="00E23FD8">
        <w:rPr>
          <w:rFonts w:ascii="Times New Roman" w:eastAsiaTheme="minorEastAsia" w:hAnsi="Times New Roman"/>
          <w:color w:val="000000"/>
          <w:kern w:val="0"/>
          <w:szCs w:val="21"/>
        </w:rPr>
        <w:t>“</w:t>
      </w:r>
      <w:r w:rsidRPr="00E23FD8">
        <w:rPr>
          <w:rFonts w:ascii="Times New Roman" w:eastAsiaTheme="minorEastAsia" w:hAnsi="Times New Roman"/>
          <w:color w:val="000000"/>
          <w:kern w:val="0"/>
          <w:szCs w:val="21"/>
        </w:rPr>
        <w:t>指标体系</w:t>
      </w:r>
      <w:r w:rsidRPr="00E23FD8">
        <w:rPr>
          <w:rFonts w:ascii="Times New Roman" w:eastAsiaTheme="minorEastAsia" w:hAnsi="Times New Roman"/>
          <w:color w:val="000000"/>
          <w:kern w:val="0"/>
          <w:szCs w:val="21"/>
        </w:rPr>
        <w:t>”</w:t>
      </w:r>
      <w:r w:rsidRPr="00E23FD8">
        <w:rPr>
          <w:rFonts w:ascii="Times New Roman" w:eastAsiaTheme="minorEastAsia" w:hAnsi="Times New Roman"/>
          <w:color w:val="000000"/>
          <w:kern w:val="0"/>
          <w:szCs w:val="21"/>
        </w:rPr>
        <w:t>）。</w:t>
      </w:r>
    </w:p>
    <w:p w:rsidR="00276B75" w:rsidRPr="00E23FD8" w:rsidRDefault="004261AB" w:rsidP="000274D0">
      <w:pPr>
        <w:autoSpaceDE w:val="0"/>
        <w:autoSpaceDN w:val="0"/>
        <w:adjustRightInd w:val="0"/>
        <w:snapToGrid w:val="0"/>
        <w:spacing w:line="300" w:lineRule="auto"/>
        <w:ind w:firstLine="480"/>
        <w:rPr>
          <w:rFonts w:ascii="Times New Roman" w:eastAsiaTheme="minorEastAsia" w:hAnsi="Times New Roman"/>
          <w:color w:val="000000"/>
          <w:kern w:val="0"/>
          <w:szCs w:val="21"/>
        </w:rPr>
      </w:pPr>
      <w:r w:rsidRPr="00E23FD8">
        <w:rPr>
          <w:rFonts w:ascii="Times New Roman" w:eastAsiaTheme="minorEastAsia" w:hAnsi="Times New Roman"/>
          <w:color w:val="000000"/>
          <w:kern w:val="0"/>
          <w:szCs w:val="21"/>
        </w:rPr>
        <w:t>本指标体系依据综合评价所得分值将清洁生产等级划分为三级，</w:t>
      </w:r>
      <w:r w:rsidRPr="00E23FD8">
        <w:rPr>
          <w:rFonts w:ascii="宋体" w:hAnsi="宋体" w:cs="宋体" w:hint="eastAsia"/>
          <w:color w:val="000000"/>
          <w:kern w:val="0"/>
          <w:szCs w:val="21"/>
        </w:rPr>
        <w:t>Ⅰ</w:t>
      </w:r>
      <w:r w:rsidRPr="00E23FD8">
        <w:rPr>
          <w:rFonts w:ascii="Times New Roman" w:eastAsiaTheme="minorEastAsia" w:hAnsi="Times New Roman"/>
          <w:color w:val="000000"/>
          <w:kern w:val="0"/>
          <w:szCs w:val="21"/>
        </w:rPr>
        <w:t>级为国际清洁生产领先水平；</w:t>
      </w:r>
      <w:r w:rsidRPr="00E23FD8">
        <w:rPr>
          <w:rFonts w:ascii="宋体" w:hAnsi="宋体" w:cs="宋体" w:hint="eastAsia"/>
          <w:color w:val="000000"/>
          <w:kern w:val="0"/>
          <w:szCs w:val="21"/>
        </w:rPr>
        <w:t>Ⅱ</w:t>
      </w:r>
      <w:r w:rsidRPr="00E23FD8">
        <w:rPr>
          <w:rFonts w:ascii="Times New Roman" w:eastAsiaTheme="minorEastAsia" w:hAnsi="Times New Roman"/>
          <w:color w:val="000000"/>
          <w:kern w:val="0"/>
          <w:szCs w:val="21"/>
        </w:rPr>
        <w:t>级为国内清洁生产先进水平；</w:t>
      </w:r>
      <w:r w:rsidRPr="00E23FD8">
        <w:rPr>
          <w:rFonts w:ascii="宋体" w:hAnsi="宋体" w:cs="宋体" w:hint="eastAsia"/>
          <w:color w:val="000000"/>
          <w:kern w:val="0"/>
          <w:szCs w:val="21"/>
        </w:rPr>
        <w:t>Ⅲ</w:t>
      </w:r>
      <w:r w:rsidRPr="00E23FD8">
        <w:rPr>
          <w:rFonts w:ascii="Times New Roman" w:eastAsiaTheme="minorEastAsia" w:hAnsi="Times New Roman"/>
          <w:color w:val="000000"/>
          <w:kern w:val="0"/>
          <w:szCs w:val="21"/>
        </w:rPr>
        <w:t>级为国内清洁生产基本水平。随着技术的不断进步和发展，本指标体系将适时修订。</w:t>
      </w:r>
    </w:p>
    <w:p w:rsidR="00276B75" w:rsidRPr="00E23FD8" w:rsidRDefault="00276B75" w:rsidP="000274D0">
      <w:pPr>
        <w:autoSpaceDE w:val="0"/>
        <w:autoSpaceDN w:val="0"/>
        <w:adjustRightInd w:val="0"/>
        <w:snapToGrid w:val="0"/>
        <w:spacing w:line="300" w:lineRule="auto"/>
        <w:ind w:firstLine="480"/>
        <w:rPr>
          <w:rFonts w:ascii="Times New Roman" w:eastAsiaTheme="minorEastAsia" w:hAnsi="Times New Roman"/>
          <w:kern w:val="0"/>
          <w:szCs w:val="21"/>
        </w:rPr>
      </w:pPr>
      <w:r w:rsidRPr="00E23FD8">
        <w:rPr>
          <w:rFonts w:ascii="Times New Roman" w:eastAsiaTheme="minorEastAsia" w:hAnsi="Times New Roman"/>
          <w:kern w:val="0"/>
          <w:szCs w:val="21"/>
        </w:rPr>
        <w:t>本指标体系</w:t>
      </w:r>
      <w:r w:rsidR="00633F39" w:rsidRPr="00E23FD8">
        <w:rPr>
          <w:rFonts w:ascii="Times New Roman" w:eastAsiaTheme="minorEastAsia" w:hAnsi="Times New Roman"/>
          <w:kern w:val="0"/>
          <w:szCs w:val="21"/>
        </w:rPr>
        <w:t>起草单位：</w:t>
      </w:r>
      <w:r w:rsidRPr="00E23FD8">
        <w:rPr>
          <w:rFonts w:ascii="Times New Roman" w:eastAsiaTheme="minorEastAsia" w:hAnsi="Times New Roman"/>
          <w:kern w:val="0"/>
          <w:szCs w:val="21"/>
        </w:rPr>
        <w:t>中国</w:t>
      </w:r>
      <w:r w:rsidR="00472B97" w:rsidRPr="00E23FD8">
        <w:rPr>
          <w:rFonts w:ascii="Times New Roman" w:eastAsiaTheme="minorEastAsia" w:hAnsi="Times New Roman"/>
          <w:kern w:val="0"/>
          <w:szCs w:val="21"/>
        </w:rPr>
        <w:t>医药企业管理协会</w:t>
      </w:r>
      <w:r w:rsidR="00633F39" w:rsidRPr="00E23FD8">
        <w:rPr>
          <w:rFonts w:ascii="Times New Roman" w:eastAsiaTheme="minorEastAsia" w:hAnsi="Times New Roman"/>
          <w:kern w:val="0"/>
          <w:szCs w:val="21"/>
        </w:rPr>
        <w:t>、中国环境科学研究院</w:t>
      </w:r>
      <w:r w:rsidRPr="00E23FD8">
        <w:rPr>
          <w:rFonts w:ascii="Times New Roman" w:eastAsiaTheme="minorEastAsia" w:hAnsi="Times New Roman"/>
          <w:kern w:val="0"/>
          <w:szCs w:val="21"/>
        </w:rPr>
        <w:t>。</w:t>
      </w:r>
    </w:p>
    <w:p w:rsidR="00633F39" w:rsidRPr="00E23FD8" w:rsidRDefault="00633F39" w:rsidP="000274D0">
      <w:pPr>
        <w:autoSpaceDE w:val="0"/>
        <w:autoSpaceDN w:val="0"/>
        <w:adjustRightInd w:val="0"/>
        <w:snapToGrid w:val="0"/>
        <w:spacing w:line="300" w:lineRule="auto"/>
        <w:ind w:firstLine="480"/>
        <w:rPr>
          <w:rFonts w:ascii="Times New Roman" w:eastAsiaTheme="minorEastAsia" w:hAnsi="Times New Roman"/>
          <w:kern w:val="0"/>
          <w:szCs w:val="21"/>
        </w:rPr>
      </w:pPr>
      <w:r w:rsidRPr="00E23FD8">
        <w:rPr>
          <w:rFonts w:ascii="Times New Roman" w:eastAsiaTheme="minorEastAsia" w:hAnsi="Times New Roman"/>
          <w:color w:val="000000"/>
          <w:kern w:val="0"/>
          <w:szCs w:val="21"/>
        </w:rPr>
        <w:t>本指标体系由国家发展和改革委员会、环境保护部会同工业和信息化部联合提出。</w:t>
      </w:r>
    </w:p>
    <w:p w:rsidR="003E7DBF" w:rsidRPr="00E23FD8" w:rsidRDefault="004261AB" w:rsidP="000274D0">
      <w:pPr>
        <w:autoSpaceDE w:val="0"/>
        <w:autoSpaceDN w:val="0"/>
        <w:adjustRightInd w:val="0"/>
        <w:snapToGrid w:val="0"/>
        <w:spacing w:line="300" w:lineRule="auto"/>
        <w:ind w:firstLine="480"/>
        <w:rPr>
          <w:rFonts w:ascii="Times New Roman" w:eastAsiaTheme="minorEastAsia" w:hAnsi="Times New Roman"/>
          <w:color w:val="000000"/>
          <w:kern w:val="0"/>
          <w:szCs w:val="21"/>
        </w:rPr>
        <w:sectPr w:rsidR="003E7DBF" w:rsidRPr="00E23FD8" w:rsidSect="00B9419D">
          <w:footerReference w:type="default" r:id="rId11"/>
          <w:pgSz w:w="11906" w:h="16838"/>
          <w:pgMar w:top="1928" w:right="1616" w:bottom="1474" w:left="1616" w:header="851" w:footer="1247" w:gutter="0"/>
          <w:pgNumType w:fmt="upperRoman" w:start="1"/>
          <w:cols w:space="425"/>
          <w:docGrid w:linePitch="312"/>
        </w:sectPr>
      </w:pPr>
      <w:r w:rsidRPr="00E23FD8">
        <w:rPr>
          <w:rFonts w:ascii="Times New Roman" w:eastAsiaTheme="minorEastAsia" w:hAnsi="Times New Roman"/>
          <w:color w:val="000000"/>
          <w:kern w:val="0"/>
          <w:szCs w:val="21"/>
        </w:rPr>
        <w:t>本指标体系由国家发展和改革委员会、环境保护部会同工业和信息化部负责解释。</w:t>
      </w:r>
    </w:p>
    <w:p w:rsidR="00276B75" w:rsidRPr="00E23FD8" w:rsidRDefault="00276B75" w:rsidP="000274D0">
      <w:pPr>
        <w:autoSpaceDE w:val="0"/>
        <w:autoSpaceDN w:val="0"/>
        <w:adjustRightInd w:val="0"/>
        <w:snapToGrid w:val="0"/>
        <w:spacing w:line="300" w:lineRule="auto"/>
        <w:ind w:firstLine="480"/>
        <w:rPr>
          <w:rFonts w:ascii="Times New Roman" w:eastAsiaTheme="minorEastAsia" w:hAnsi="Times New Roman"/>
          <w:color w:val="000000"/>
          <w:kern w:val="0"/>
          <w:szCs w:val="21"/>
        </w:rPr>
      </w:pPr>
    </w:p>
    <w:p w:rsidR="00276B75" w:rsidRPr="00E23FD8" w:rsidRDefault="00276B75"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3" w:name="_Toc368639112"/>
      <w:bookmarkStart w:id="4" w:name="_Toc456896865"/>
      <w:bookmarkStart w:id="5" w:name="_Toc462389131"/>
      <w:r w:rsidRPr="00E23FD8">
        <w:rPr>
          <w:rFonts w:ascii="Times New Roman" w:eastAsia="黑体" w:hAnsi="Times New Roman"/>
          <w:b w:val="0"/>
          <w:bCs w:val="0"/>
          <w:kern w:val="2"/>
          <w:sz w:val="21"/>
          <w:szCs w:val="21"/>
        </w:rPr>
        <w:t>1</w:t>
      </w:r>
      <w:r w:rsidRPr="00E23FD8">
        <w:rPr>
          <w:rFonts w:ascii="Times New Roman" w:eastAsia="黑体" w:hAnsi="Times New Roman"/>
          <w:b w:val="0"/>
          <w:bCs w:val="0"/>
          <w:kern w:val="2"/>
          <w:sz w:val="21"/>
          <w:szCs w:val="21"/>
        </w:rPr>
        <w:t>适用范围</w:t>
      </w:r>
      <w:bookmarkEnd w:id="3"/>
      <w:bookmarkEnd w:id="4"/>
      <w:bookmarkEnd w:id="5"/>
    </w:p>
    <w:p w:rsidR="00F23F1E" w:rsidRPr="00E23FD8" w:rsidRDefault="00F23F1E" w:rsidP="000274D0">
      <w:pPr>
        <w:autoSpaceDE w:val="0"/>
        <w:autoSpaceDN w:val="0"/>
        <w:adjustRightInd w:val="0"/>
        <w:snapToGrid w:val="0"/>
        <w:spacing w:line="300" w:lineRule="auto"/>
        <w:ind w:firstLineChars="200" w:firstLine="420"/>
        <w:jc w:val="left"/>
        <w:rPr>
          <w:rFonts w:ascii="Times New Roman" w:hAnsi="Times New Roman"/>
          <w:color w:val="000000"/>
          <w:kern w:val="0"/>
          <w:szCs w:val="21"/>
        </w:rPr>
      </w:pPr>
      <w:r w:rsidRPr="00E23FD8">
        <w:rPr>
          <w:rFonts w:ascii="Times New Roman" w:hAnsi="Times New Roman"/>
          <w:color w:val="000000"/>
          <w:kern w:val="0"/>
          <w:szCs w:val="21"/>
        </w:rPr>
        <w:t>本评价指标体系规定了化学原料药生产企业清洁生产的一般要求。本评价指标体系将清洁生产标准指标分成生产工艺与设备指标、资源与能源消耗指标、资源综合利用指标、污染物产生指标、产品特征指标、清洁生产管理指标。</w:t>
      </w:r>
    </w:p>
    <w:p w:rsidR="00276B75" w:rsidRPr="00E23FD8" w:rsidRDefault="00276B75" w:rsidP="000274D0">
      <w:pPr>
        <w:autoSpaceDE w:val="0"/>
        <w:autoSpaceDN w:val="0"/>
        <w:adjustRightInd w:val="0"/>
        <w:snapToGrid w:val="0"/>
        <w:spacing w:line="300" w:lineRule="auto"/>
        <w:ind w:firstLineChars="200" w:firstLine="420"/>
        <w:jc w:val="left"/>
        <w:rPr>
          <w:rFonts w:ascii="Times New Roman" w:hAnsi="Times New Roman"/>
          <w:color w:val="000000"/>
          <w:kern w:val="0"/>
          <w:szCs w:val="21"/>
        </w:rPr>
      </w:pPr>
      <w:r w:rsidRPr="00E23FD8">
        <w:rPr>
          <w:rFonts w:ascii="Times New Roman" w:hAnsi="Times New Roman"/>
          <w:color w:val="000000"/>
          <w:kern w:val="0"/>
          <w:szCs w:val="21"/>
        </w:rPr>
        <w:t>本指标体系适用于化学原料药行业</w:t>
      </w:r>
      <w:r w:rsidR="001A4669" w:rsidRPr="00E23FD8">
        <w:rPr>
          <w:rFonts w:ascii="Times New Roman" w:hAnsi="Times New Roman"/>
          <w:color w:val="000000"/>
          <w:kern w:val="0"/>
          <w:szCs w:val="21"/>
        </w:rPr>
        <w:t>（</w:t>
      </w:r>
      <w:r w:rsidRPr="00E23FD8">
        <w:rPr>
          <w:rFonts w:ascii="Times New Roman" w:hAnsi="Times New Roman"/>
          <w:color w:val="000000"/>
          <w:kern w:val="0"/>
          <w:szCs w:val="21"/>
        </w:rPr>
        <w:t>包括</w:t>
      </w:r>
      <w:r w:rsidR="00625751" w:rsidRPr="00E23FD8">
        <w:rPr>
          <w:rFonts w:ascii="Times New Roman" w:hAnsi="Times New Roman"/>
          <w:color w:val="000000"/>
          <w:kern w:val="0"/>
          <w:szCs w:val="21"/>
        </w:rPr>
        <w:t>采用</w:t>
      </w:r>
      <w:r w:rsidRPr="00E23FD8">
        <w:rPr>
          <w:rFonts w:ascii="Times New Roman" w:hAnsi="Times New Roman"/>
          <w:color w:val="000000"/>
          <w:kern w:val="0"/>
          <w:szCs w:val="21"/>
        </w:rPr>
        <w:t>化学合成，动、植物提取，微生物发酵等</w:t>
      </w:r>
      <w:r w:rsidR="00625751" w:rsidRPr="00E23FD8">
        <w:rPr>
          <w:rFonts w:ascii="Times New Roman" w:hAnsi="Times New Roman"/>
          <w:color w:val="000000"/>
          <w:kern w:val="0"/>
          <w:szCs w:val="21"/>
        </w:rPr>
        <w:t>方法制备</w:t>
      </w:r>
      <w:r w:rsidRPr="00E23FD8">
        <w:rPr>
          <w:rFonts w:ascii="Times New Roman" w:hAnsi="Times New Roman"/>
          <w:color w:val="000000"/>
          <w:kern w:val="0"/>
          <w:szCs w:val="21"/>
        </w:rPr>
        <w:t>化学原料药</w:t>
      </w:r>
      <w:r w:rsidR="00625751" w:rsidRPr="00E23FD8">
        <w:rPr>
          <w:rFonts w:ascii="Times New Roman" w:hAnsi="Times New Roman"/>
          <w:color w:val="000000"/>
          <w:kern w:val="0"/>
          <w:szCs w:val="21"/>
        </w:rPr>
        <w:t>的</w:t>
      </w:r>
      <w:r w:rsidRPr="00E23FD8">
        <w:rPr>
          <w:rFonts w:ascii="Times New Roman" w:hAnsi="Times New Roman"/>
          <w:color w:val="000000"/>
          <w:kern w:val="0"/>
          <w:szCs w:val="21"/>
        </w:rPr>
        <w:t>生产企业</w:t>
      </w:r>
      <w:r w:rsidR="001A4669" w:rsidRPr="00E23FD8">
        <w:rPr>
          <w:rFonts w:ascii="Times New Roman" w:hAnsi="Times New Roman"/>
          <w:color w:val="000000"/>
          <w:kern w:val="0"/>
          <w:szCs w:val="21"/>
        </w:rPr>
        <w:t>）</w:t>
      </w:r>
      <w:r w:rsidR="001B04DC" w:rsidRPr="00E23FD8">
        <w:rPr>
          <w:rFonts w:ascii="Times New Roman" w:hAnsi="Times New Roman"/>
          <w:color w:val="000000"/>
          <w:kern w:val="0"/>
          <w:szCs w:val="21"/>
        </w:rPr>
        <w:t>清洁生产审核、清洁生产潜力与机会的判断、清洁生产绩效评定和清洁生产绩效公告、环境影响评价、排污许可证、</w:t>
      </w:r>
      <w:r w:rsidR="00633F39" w:rsidRPr="00E23FD8">
        <w:rPr>
          <w:rFonts w:ascii="Times New Roman" w:hAnsi="Times New Roman"/>
          <w:color w:val="000000"/>
          <w:kern w:val="0"/>
          <w:szCs w:val="21"/>
        </w:rPr>
        <w:t>环保</w:t>
      </w:r>
      <w:r w:rsidR="001B04DC" w:rsidRPr="00E23FD8">
        <w:rPr>
          <w:rFonts w:ascii="Times New Roman" w:hAnsi="Times New Roman"/>
          <w:color w:val="000000"/>
          <w:kern w:val="0"/>
          <w:szCs w:val="21"/>
        </w:rPr>
        <w:t>领跑者等管理制度。</w:t>
      </w:r>
    </w:p>
    <w:p w:rsidR="005B107E" w:rsidRPr="00E23FD8" w:rsidRDefault="00276B75"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6" w:name="_Toc368639113"/>
      <w:bookmarkStart w:id="7" w:name="_Toc456896866"/>
      <w:bookmarkStart w:id="8" w:name="_Toc462389132"/>
      <w:r w:rsidRPr="00E23FD8">
        <w:rPr>
          <w:rFonts w:ascii="Times New Roman" w:eastAsia="黑体" w:hAnsi="Times New Roman"/>
          <w:b w:val="0"/>
          <w:bCs w:val="0"/>
          <w:kern w:val="2"/>
          <w:sz w:val="21"/>
          <w:szCs w:val="21"/>
        </w:rPr>
        <w:t>2</w:t>
      </w:r>
      <w:r w:rsidR="005B107E" w:rsidRPr="00E23FD8">
        <w:rPr>
          <w:rFonts w:ascii="Times New Roman" w:eastAsia="黑体" w:hAnsi="Times New Roman"/>
          <w:b w:val="0"/>
          <w:bCs w:val="0"/>
          <w:kern w:val="2"/>
          <w:sz w:val="21"/>
          <w:szCs w:val="21"/>
        </w:rPr>
        <w:t>规范性引用文件</w:t>
      </w:r>
      <w:bookmarkEnd w:id="6"/>
      <w:bookmarkEnd w:id="7"/>
      <w:bookmarkEnd w:id="8"/>
    </w:p>
    <w:p w:rsidR="000A57A4" w:rsidRPr="00E23FD8" w:rsidRDefault="00633F39"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E23FD8">
        <w:rPr>
          <w:rFonts w:ascii="Times New Roman" w:eastAsiaTheme="minorEastAsia" w:hAnsi="Times New Roman"/>
          <w:kern w:val="0"/>
          <w:szCs w:val="21"/>
        </w:rPr>
        <w:t>下列文件对于本指标体系的应用是必不可少的。凡是注日期的引用文件，仅注日期的版本适用于本文件。凡是不注日期的引用文件，其最新版本（包括所有的修改单）适用于本指标体系。</w:t>
      </w:r>
    </w:p>
    <w:p w:rsidR="00F15E03" w:rsidRPr="00E23FD8" w:rsidRDefault="00F15E03"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E23FD8">
        <w:rPr>
          <w:rFonts w:ascii="Times New Roman" w:eastAsiaTheme="minorEastAsia" w:hAnsi="Times New Roman"/>
          <w:kern w:val="0"/>
          <w:szCs w:val="21"/>
        </w:rPr>
        <w:t>GB21903-2008</w:t>
      </w:r>
      <w:r w:rsidRPr="00E23FD8">
        <w:rPr>
          <w:rFonts w:ascii="Times New Roman" w:eastAsiaTheme="minorEastAsia" w:hAnsi="Times New Roman"/>
          <w:kern w:val="0"/>
          <w:szCs w:val="21"/>
        </w:rPr>
        <w:t>发酵类制药工业水污染物排放标准</w:t>
      </w:r>
    </w:p>
    <w:p w:rsidR="00F15E03" w:rsidRPr="00E23FD8" w:rsidRDefault="00F15E03"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E23FD8">
        <w:rPr>
          <w:rFonts w:ascii="Times New Roman" w:eastAsiaTheme="minorEastAsia" w:hAnsi="Times New Roman"/>
          <w:kern w:val="0"/>
          <w:szCs w:val="21"/>
        </w:rPr>
        <w:t>GB21904-2008</w:t>
      </w:r>
      <w:r w:rsidRPr="00E23FD8">
        <w:rPr>
          <w:rFonts w:ascii="Times New Roman" w:eastAsiaTheme="minorEastAsia" w:hAnsi="Times New Roman"/>
          <w:kern w:val="0"/>
          <w:szCs w:val="21"/>
        </w:rPr>
        <w:t>化学合成类制药工业水污染物排放标准</w:t>
      </w:r>
    </w:p>
    <w:p w:rsidR="00F15E03" w:rsidRDefault="00B30BDC"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hyperlink r:id="rId12" w:tgtFrame="_blank" w:history="1">
        <w:r w:rsidR="00F15E03" w:rsidRPr="00E23FD8">
          <w:rPr>
            <w:rFonts w:ascii="Times New Roman" w:eastAsiaTheme="minorEastAsia" w:hAnsi="Times New Roman"/>
            <w:kern w:val="0"/>
            <w:szCs w:val="21"/>
          </w:rPr>
          <w:t>GB21905-2008</w:t>
        </w:r>
        <w:r w:rsidR="00F15E03" w:rsidRPr="00E23FD8">
          <w:rPr>
            <w:rFonts w:ascii="Times New Roman" w:eastAsiaTheme="minorEastAsia" w:hAnsi="Times New Roman"/>
            <w:kern w:val="0"/>
            <w:szCs w:val="21"/>
          </w:rPr>
          <w:t>提取类制药工业水污染物排放标准</w:t>
        </w:r>
      </w:hyperlink>
    </w:p>
    <w:p w:rsidR="00BF4C51" w:rsidRPr="00E23FD8" w:rsidRDefault="00BF4C51"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BF4C51">
        <w:rPr>
          <w:rFonts w:ascii="Times New Roman" w:eastAsiaTheme="minorEastAsia" w:hAnsi="Times New Roman" w:hint="eastAsia"/>
          <w:kern w:val="0"/>
          <w:szCs w:val="21"/>
        </w:rPr>
        <w:t xml:space="preserve">GB/T 24001    </w:t>
      </w:r>
      <w:r w:rsidRPr="00BF4C51">
        <w:rPr>
          <w:rFonts w:ascii="Times New Roman" w:eastAsiaTheme="minorEastAsia" w:hAnsi="Times New Roman" w:hint="eastAsia"/>
          <w:kern w:val="0"/>
          <w:szCs w:val="21"/>
        </w:rPr>
        <w:t>环境管理体系要求及使用指南</w:t>
      </w:r>
    </w:p>
    <w:p w:rsidR="00F15E03" w:rsidRPr="00E23FD8" w:rsidRDefault="00710CAF"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E23FD8">
        <w:rPr>
          <w:rFonts w:ascii="Times New Roman" w:eastAsiaTheme="minorEastAsia" w:hAnsi="Times New Roman"/>
          <w:kern w:val="0"/>
          <w:szCs w:val="21"/>
        </w:rPr>
        <w:t>《</w:t>
      </w:r>
      <w:r w:rsidR="00F15E03" w:rsidRPr="00E23FD8">
        <w:rPr>
          <w:rFonts w:ascii="Times New Roman" w:eastAsiaTheme="minorEastAsia" w:hAnsi="Times New Roman"/>
          <w:kern w:val="0"/>
          <w:szCs w:val="21"/>
        </w:rPr>
        <w:t>产业结构调整指导目录</w:t>
      </w:r>
      <w:r w:rsidRPr="00E23FD8">
        <w:rPr>
          <w:rFonts w:ascii="Times New Roman" w:eastAsiaTheme="minorEastAsia" w:hAnsi="Times New Roman"/>
          <w:kern w:val="0"/>
          <w:szCs w:val="21"/>
        </w:rPr>
        <w:t>（</w:t>
      </w:r>
      <w:r w:rsidRPr="00E23FD8">
        <w:rPr>
          <w:rFonts w:ascii="Times New Roman" w:eastAsiaTheme="minorEastAsia" w:hAnsi="Times New Roman"/>
          <w:kern w:val="0"/>
          <w:szCs w:val="21"/>
        </w:rPr>
        <w:t>2013</w:t>
      </w:r>
      <w:r w:rsidRPr="00E23FD8">
        <w:rPr>
          <w:rFonts w:ascii="Times New Roman" w:eastAsiaTheme="minorEastAsia" w:hAnsi="Times New Roman"/>
          <w:kern w:val="0"/>
          <w:szCs w:val="21"/>
        </w:rPr>
        <w:t>年修订本）》</w:t>
      </w:r>
      <w:r w:rsidR="000A57A4" w:rsidRPr="00E23FD8">
        <w:rPr>
          <w:rFonts w:ascii="Times New Roman" w:eastAsiaTheme="minorEastAsia" w:hAnsi="Times New Roman"/>
          <w:kern w:val="0"/>
          <w:szCs w:val="21"/>
        </w:rPr>
        <w:t>（</w:t>
      </w:r>
      <w:r w:rsidRPr="00E23FD8">
        <w:rPr>
          <w:rFonts w:ascii="Times New Roman" w:eastAsiaTheme="minorEastAsia" w:hAnsi="Times New Roman"/>
          <w:kern w:val="0"/>
          <w:szCs w:val="21"/>
        </w:rPr>
        <w:t>国家发展改革委</w:t>
      </w:r>
      <w:r w:rsidRPr="00E23FD8">
        <w:rPr>
          <w:rFonts w:ascii="Times New Roman" w:eastAsiaTheme="minorEastAsia" w:hAnsi="Times New Roman"/>
          <w:kern w:val="0"/>
          <w:szCs w:val="21"/>
        </w:rPr>
        <w:t>2011</w:t>
      </w:r>
      <w:r w:rsidRPr="00E23FD8">
        <w:rPr>
          <w:rFonts w:ascii="Times New Roman" w:eastAsiaTheme="minorEastAsia" w:hAnsi="Times New Roman"/>
          <w:kern w:val="0"/>
          <w:szCs w:val="21"/>
        </w:rPr>
        <w:t>年第</w:t>
      </w:r>
      <w:r w:rsidRPr="00E23FD8">
        <w:rPr>
          <w:rFonts w:ascii="Times New Roman" w:eastAsiaTheme="minorEastAsia" w:hAnsi="Times New Roman"/>
          <w:kern w:val="0"/>
          <w:szCs w:val="21"/>
        </w:rPr>
        <w:t>9</w:t>
      </w:r>
      <w:r w:rsidRPr="00E23FD8">
        <w:rPr>
          <w:rFonts w:ascii="Times New Roman" w:eastAsiaTheme="minorEastAsia" w:hAnsi="Times New Roman"/>
          <w:kern w:val="0"/>
          <w:szCs w:val="21"/>
        </w:rPr>
        <w:t>号令，</w:t>
      </w:r>
      <w:r w:rsidRPr="00E23FD8">
        <w:rPr>
          <w:rFonts w:ascii="Times New Roman" w:eastAsiaTheme="minorEastAsia" w:hAnsi="Times New Roman"/>
          <w:kern w:val="0"/>
          <w:szCs w:val="21"/>
        </w:rPr>
        <w:t>2013</w:t>
      </w:r>
      <w:r w:rsidRPr="00E23FD8">
        <w:rPr>
          <w:rFonts w:ascii="Times New Roman" w:eastAsiaTheme="minorEastAsia" w:hAnsi="Times New Roman"/>
          <w:kern w:val="0"/>
          <w:szCs w:val="21"/>
        </w:rPr>
        <w:t>年第</w:t>
      </w:r>
      <w:r w:rsidRPr="00E23FD8">
        <w:rPr>
          <w:rFonts w:ascii="Times New Roman" w:eastAsiaTheme="minorEastAsia" w:hAnsi="Times New Roman"/>
          <w:kern w:val="0"/>
          <w:szCs w:val="21"/>
        </w:rPr>
        <w:t>21</w:t>
      </w:r>
      <w:r w:rsidRPr="00E23FD8">
        <w:rPr>
          <w:rFonts w:ascii="Times New Roman" w:eastAsiaTheme="minorEastAsia" w:hAnsi="Times New Roman"/>
          <w:kern w:val="0"/>
          <w:szCs w:val="21"/>
        </w:rPr>
        <w:t>号令</w:t>
      </w:r>
      <w:r w:rsidR="000A57A4" w:rsidRPr="00E23FD8">
        <w:rPr>
          <w:rFonts w:ascii="Times New Roman" w:eastAsiaTheme="minorEastAsia" w:hAnsi="Times New Roman"/>
          <w:kern w:val="0"/>
          <w:szCs w:val="21"/>
        </w:rPr>
        <w:t>）</w:t>
      </w:r>
    </w:p>
    <w:p w:rsidR="00F23F1E" w:rsidRPr="00E23FD8" w:rsidRDefault="00F23F1E" w:rsidP="000274D0">
      <w:pPr>
        <w:autoSpaceDE w:val="0"/>
        <w:autoSpaceDN w:val="0"/>
        <w:adjustRightInd w:val="0"/>
        <w:snapToGrid w:val="0"/>
        <w:spacing w:line="300" w:lineRule="auto"/>
        <w:ind w:firstLineChars="200" w:firstLine="420"/>
        <w:jc w:val="left"/>
        <w:rPr>
          <w:rFonts w:ascii="Times New Roman" w:eastAsiaTheme="minorEastAsia" w:hAnsi="Times New Roman"/>
          <w:kern w:val="0"/>
          <w:szCs w:val="21"/>
        </w:rPr>
      </w:pPr>
      <w:r w:rsidRPr="00E23FD8">
        <w:rPr>
          <w:rFonts w:ascii="Times New Roman" w:eastAsiaTheme="minorEastAsia" w:hAnsi="Times New Roman"/>
          <w:kern w:val="0"/>
          <w:szCs w:val="21"/>
        </w:rPr>
        <w:t>《清洁生产评价指标体系编制通则》（试行稿）国家发展改革委、环境保护部、工业和信息化部</w:t>
      </w:r>
      <w:r w:rsidRPr="00E23FD8">
        <w:rPr>
          <w:rFonts w:ascii="Times New Roman" w:eastAsiaTheme="minorEastAsia" w:hAnsi="Times New Roman"/>
          <w:kern w:val="0"/>
          <w:szCs w:val="21"/>
        </w:rPr>
        <w:t>2013</w:t>
      </w:r>
      <w:r w:rsidRPr="00E23FD8">
        <w:rPr>
          <w:rFonts w:ascii="Times New Roman" w:eastAsiaTheme="minorEastAsia" w:hAnsi="Times New Roman"/>
          <w:kern w:val="0"/>
          <w:szCs w:val="21"/>
        </w:rPr>
        <w:t>年第</w:t>
      </w:r>
      <w:r w:rsidRPr="00E23FD8">
        <w:rPr>
          <w:rFonts w:ascii="Times New Roman" w:eastAsiaTheme="minorEastAsia" w:hAnsi="Times New Roman"/>
          <w:kern w:val="0"/>
          <w:szCs w:val="21"/>
        </w:rPr>
        <w:t>33</w:t>
      </w:r>
      <w:r w:rsidRPr="00E23FD8">
        <w:rPr>
          <w:rFonts w:ascii="Times New Roman" w:eastAsiaTheme="minorEastAsia" w:hAnsi="Times New Roman"/>
          <w:kern w:val="0"/>
          <w:szCs w:val="21"/>
        </w:rPr>
        <w:t>号公告）</w:t>
      </w:r>
    </w:p>
    <w:p w:rsidR="007A439A" w:rsidRPr="00E23FD8" w:rsidRDefault="007A439A"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9" w:name="_Toc368639114"/>
      <w:bookmarkStart w:id="10" w:name="_Toc456896867"/>
      <w:bookmarkStart w:id="11" w:name="_Toc462389133"/>
      <w:r w:rsidRPr="00E23FD8">
        <w:rPr>
          <w:rFonts w:ascii="Times New Roman" w:eastAsia="黑体" w:hAnsi="Times New Roman"/>
          <w:b w:val="0"/>
          <w:bCs w:val="0"/>
          <w:kern w:val="2"/>
          <w:sz w:val="21"/>
          <w:szCs w:val="21"/>
        </w:rPr>
        <w:t>3</w:t>
      </w:r>
      <w:r w:rsidRPr="00E23FD8">
        <w:rPr>
          <w:rFonts w:ascii="Times New Roman" w:eastAsia="黑体" w:hAnsi="Times New Roman"/>
          <w:b w:val="0"/>
          <w:bCs w:val="0"/>
          <w:kern w:val="2"/>
          <w:sz w:val="21"/>
          <w:szCs w:val="21"/>
        </w:rPr>
        <w:t>术语和定义</w:t>
      </w:r>
      <w:bookmarkEnd w:id="9"/>
      <w:bookmarkEnd w:id="10"/>
      <w:bookmarkEnd w:id="11"/>
    </w:p>
    <w:p w:rsidR="00250473"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下列术语和定义适用于本文件。</w:t>
      </w:r>
    </w:p>
    <w:p w:rsidR="00CA3F2A" w:rsidRPr="00E23FD8" w:rsidRDefault="00CA3F2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3.1</w:t>
      </w:r>
      <w:r w:rsidRPr="00E23FD8">
        <w:rPr>
          <w:rFonts w:ascii="Times New Roman" w:eastAsia="黑体" w:hAnsi="Times New Roman"/>
          <w:b w:val="0"/>
          <w:bCs w:val="0"/>
          <w:kern w:val="0"/>
          <w:sz w:val="21"/>
          <w:szCs w:val="21"/>
        </w:rPr>
        <w:t>化学原料药业</w:t>
      </w:r>
    </w:p>
    <w:p w:rsidR="00CA3F2A" w:rsidRPr="00E23FD8" w:rsidRDefault="00CA3F2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化学药品原料药制造业的简称，指供进一步加工化学药品制剂所需的原料药的生产活动。</w:t>
      </w:r>
    </w:p>
    <w:p w:rsidR="00CA3F2A" w:rsidRPr="00E23FD8" w:rsidRDefault="00CA3F2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 xml:space="preserve">3.2 </w:t>
      </w:r>
      <w:r w:rsidRPr="00E23FD8">
        <w:rPr>
          <w:rFonts w:ascii="Times New Roman" w:eastAsia="黑体" w:hAnsi="Times New Roman"/>
          <w:b w:val="0"/>
          <w:bCs w:val="0"/>
          <w:kern w:val="0"/>
          <w:sz w:val="21"/>
          <w:szCs w:val="21"/>
        </w:rPr>
        <w:t>化学原料药</w:t>
      </w:r>
    </w:p>
    <w:p w:rsidR="00CA3F2A" w:rsidRPr="00E23FD8" w:rsidRDefault="00CA3F2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指供进一步加工化学药品制剂所需的原料药，包括采用化学合成、动、植物提取，微生物发酵等方法制备而成。</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sz w:val="21"/>
          <w:szCs w:val="22"/>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3</w:t>
      </w:r>
      <w:r w:rsidRPr="00E23FD8">
        <w:rPr>
          <w:rFonts w:ascii="Times New Roman" w:eastAsia="黑体" w:hAnsi="Times New Roman"/>
          <w:b w:val="0"/>
          <w:bCs w:val="0"/>
          <w:sz w:val="21"/>
          <w:szCs w:val="22"/>
        </w:rPr>
        <w:t>清洁生产</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lastRenderedPageBreak/>
        <w:t>3.</w:t>
      </w:r>
      <w:r w:rsidR="00CA3F2A" w:rsidRPr="00E23FD8">
        <w:rPr>
          <w:rFonts w:ascii="Times New Roman" w:eastAsia="黑体" w:hAnsi="Times New Roman"/>
          <w:b w:val="0"/>
          <w:bCs w:val="0"/>
          <w:kern w:val="0"/>
          <w:sz w:val="21"/>
          <w:szCs w:val="21"/>
        </w:rPr>
        <w:t>4</w:t>
      </w:r>
      <w:r w:rsidRPr="00E23FD8">
        <w:rPr>
          <w:rFonts w:ascii="Times New Roman" w:eastAsia="黑体" w:hAnsi="Times New Roman"/>
          <w:b w:val="0"/>
          <w:bCs w:val="0"/>
          <w:kern w:val="0"/>
          <w:sz w:val="21"/>
          <w:szCs w:val="21"/>
        </w:rPr>
        <w:t>清洁生产评价指标体系</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由相互联系、相对独立、互相补充的系列清洁生产评价指标所组成的，用于衡量清洁生产状态的指标集合。</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5</w:t>
      </w:r>
      <w:r w:rsidRPr="00E23FD8">
        <w:rPr>
          <w:rFonts w:ascii="Times New Roman" w:eastAsia="黑体" w:hAnsi="Times New Roman"/>
          <w:b w:val="0"/>
          <w:bCs w:val="0"/>
          <w:kern w:val="0"/>
          <w:sz w:val="21"/>
          <w:szCs w:val="21"/>
        </w:rPr>
        <w:t>生产工艺及装备指标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产品生产中采用的生产工艺和装备的种类、自动化水平、生产规模等方面的指标。</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6</w:t>
      </w:r>
      <w:r w:rsidRPr="00E23FD8">
        <w:rPr>
          <w:rFonts w:ascii="Times New Roman" w:eastAsia="黑体" w:hAnsi="Times New Roman"/>
          <w:b w:val="0"/>
          <w:bCs w:val="0"/>
          <w:kern w:val="0"/>
          <w:sz w:val="21"/>
          <w:szCs w:val="21"/>
        </w:rPr>
        <w:t>资源能源消耗指标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在生产过程中，生产单位产品所需的资源与能源量等反应资源与能源利用效率的指标。</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7</w:t>
      </w:r>
      <w:r w:rsidRPr="00E23FD8">
        <w:rPr>
          <w:rFonts w:ascii="Times New Roman" w:eastAsia="黑体" w:hAnsi="Times New Roman"/>
          <w:b w:val="0"/>
          <w:bCs w:val="0"/>
          <w:kern w:val="0"/>
          <w:sz w:val="21"/>
          <w:szCs w:val="21"/>
        </w:rPr>
        <w:t>资源综合利用指标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生产过程中所产生废物可回收利用特征及废物回收利用情况的指标。</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8</w:t>
      </w:r>
      <w:r w:rsidRPr="00E23FD8">
        <w:rPr>
          <w:rFonts w:ascii="Times New Roman" w:eastAsia="黑体" w:hAnsi="Times New Roman"/>
          <w:b w:val="0"/>
          <w:bCs w:val="0"/>
          <w:kern w:val="0"/>
          <w:sz w:val="21"/>
          <w:szCs w:val="21"/>
        </w:rPr>
        <w:t>污染物产生指标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单位产品生产（或加工）过程中，产生污染物的量（末端处理前）。</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9</w:t>
      </w:r>
      <w:r w:rsidRPr="00E23FD8">
        <w:rPr>
          <w:rFonts w:ascii="Times New Roman" w:eastAsia="黑体" w:hAnsi="Times New Roman"/>
          <w:b w:val="0"/>
          <w:bCs w:val="0"/>
          <w:kern w:val="0"/>
          <w:sz w:val="21"/>
          <w:szCs w:val="21"/>
        </w:rPr>
        <w:t>产品特征指标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影响污染物种类和数量的产品性能、种类和包装，以及反映产品贮存、运输、使用和废弃后可能造成的环境影响等的指标。</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10</w:t>
      </w:r>
      <w:r w:rsidRPr="00E23FD8">
        <w:rPr>
          <w:rFonts w:ascii="Times New Roman" w:eastAsia="黑体" w:hAnsi="Times New Roman"/>
          <w:b w:val="0"/>
          <w:bCs w:val="0"/>
          <w:kern w:val="0"/>
          <w:sz w:val="21"/>
          <w:szCs w:val="21"/>
        </w:rPr>
        <w:t>清洁生产管理指标</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对企业所制定和实施的各类清洁生产管理相关规章、制度和措施的要求，包括执行环保法规情况、企业生产过程管理、环境管理、清洁生产审核、相关环境管理等方面。</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w:t>
      </w:r>
      <w:r w:rsidR="00CA3F2A" w:rsidRPr="00E23FD8">
        <w:rPr>
          <w:rFonts w:ascii="Times New Roman" w:eastAsia="黑体" w:hAnsi="Times New Roman"/>
          <w:b w:val="0"/>
          <w:bCs w:val="0"/>
          <w:kern w:val="0"/>
          <w:sz w:val="21"/>
          <w:szCs w:val="21"/>
        </w:rPr>
        <w:t>11</w:t>
      </w:r>
      <w:r w:rsidRPr="00E23FD8">
        <w:rPr>
          <w:rFonts w:ascii="Times New Roman" w:eastAsia="黑体" w:hAnsi="Times New Roman"/>
          <w:b w:val="0"/>
          <w:bCs w:val="0"/>
          <w:kern w:val="0"/>
          <w:sz w:val="21"/>
          <w:szCs w:val="21"/>
        </w:rPr>
        <w:t>指标基准值</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为评价清洁生产状态所确定的指标对照值。</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3.1</w:t>
      </w:r>
      <w:r w:rsidR="00CA3F2A" w:rsidRPr="00E23FD8">
        <w:rPr>
          <w:rFonts w:ascii="Times New Roman" w:eastAsia="黑体" w:hAnsi="Times New Roman"/>
          <w:b w:val="0"/>
          <w:bCs w:val="0"/>
          <w:kern w:val="0"/>
          <w:sz w:val="21"/>
          <w:szCs w:val="21"/>
        </w:rPr>
        <w:t>2</w:t>
      </w:r>
      <w:r w:rsidRPr="00E23FD8">
        <w:rPr>
          <w:rFonts w:ascii="Times New Roman" w:eastAsia="黑体" w:hAnsi="Times New Roman"/>
          <w:b w:val="0"/>
          <w:bCs w:val="0"/>
          <w:kern w:val="0"/>
          <w:sz w:val="21"/>
          <w:szCs w:val="21"/>
        </w:rPr>
        <w:t>指标权重</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衡量各评价指标在清洁生产评价指标体系中的重要程度。</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3.1</w:t>
      </w:r>
      <w:r w:rsidR="00CA3F2A" w:rsidRPr="00E23FD8">
        <w:rPr>
          <w:rFonts w:ascii="Times New Roman" w:eastAsia="黑体" w:hAnsi="Times New Roman"/>
          <w:b w:val="0"/>
          <w:bCs w:val="0"/>
          <w:kern w:val="0"/>
          <w:sz w:val="21"/>
          <w:szCs w:val="21"/>
        </w:rPr>
        <w:t>3</w:t>
      </w:r>
      <w:r w:rsidRPr="00E23FD8">
        <w:rPr>
          <w:rFonts w:ascii="Times New Roman" w:eastAsia="黑体" w:hAnsi="Times New Roman"/>
          <w:b w:val="0"/>
          <w:bCs w:val="0"/>
          <w:kern w:val="0"/>
          <w:sz w:val="21"/>
          <w:szCs w:val="21"/>
        </w:rPr>
        <w:t>指标分级</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根据现实需要，对清洁生产评价指标所划分的级别。</w:t>
      </w:r>
    </w:p>
    <w:p w:rsidR="007A439A" w:rsidRPr="00E23FD8" w:rsidRDefault="007A439A"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3.1</w:t>
      </w:r>
      <w:r w:rsidR="00CA3F2A" w:rsidRPr="00E23FD8">
        <w:rPr>
          <w:rFonts w:ascii="Times New Roman" w:eastAsia="黑体" w:hAnsi="Times New Roman"/>
          <w:b w:val="0"/>
          <w:bCs w:val="0"/>
          <w:kern w:val="0"/>
          <w:sz w:val="21"/>
          <w:szCs w:val="21"/>
        </w:rPr>
        <w:t>4</w:t>
      </w:r>
      <w:r w:rsidRPr="00E23FD8">
        <w:rPr>
          <w:rFonts w:ascii="Times New Roman" w:eastAsia="黑体" w:hAnsi="Times New Roman"/>
          <w:b w:val="0"/>
          <w:bCs w:val="0"/>
          <w:kern w:val="0"/>
          <w:sz w:val="21"/>
          <w:szCs w:val="21"/>
        </w:rPr>
        <w:t>清洁生产综合评价指数</w:t>
      </w:r>
    </w:p>
    <w:p w:rsidR="007A439A" w:rsidRPr="00E23FD8" w:rsidRDefault="007A439A" w:rsidP="000274D0">
      <w:pPr>
        <w:pStyle w:val="Default"/>
        <w:snapToGrid w:val="0"/>
        <w:spacing w:line="300" w:lineRule="auto"/>
        <w:ind w:firstLine="420"/>
        <w:jc w:val="both"/>
        <w:rPr>
          <w:rFonts w:ascii="Times New Roman" w:hAnsi="Times New Roman" w:cs="Times New Roman"/>
          <w:sz w:val="21"/>
          <w:szCs w:val="21"/>
        </w:rPr>
      </w:pPr>
      <w:r w:rsidRPr="00E23FD8">
        <w:rPr>
          <w:rFonts w:ascii="Times New Roman" w:hAnsi="Times New Roman" w:cs="Times New Roman"/>
          <w:sz w:val="21"/>
          <w:szCs w:val="21"/>
        </w:rPr>
        <w:t>根据一定的方法和步骤，对清洁生产评价指标进行综合计算得到的数值。</w:t>
      </w:r>
    </w:p>
    <w:p w:rsidR="007A439A" w:rsidRPr="00E23FD8" w:rsidRDefault="007A439A"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12" w:name="_Toc368639115"/>
      <w:bookmarkStart w:id="13" w:name="_Toc456896868"/>
      <w:bookmarkStart w:id="14" w:name="_Toc462389134"/>
      <w:r w:rsidRPr="00E23FD8">
        <w:rPr>
          <w:rFonts w:ascii="Times New Roman" w:eastAsia="黑体" w:hAnsi="Times New Roman"/>
          <w:b w:val="0"/>
          <w:bCs w:val="0"/>
          <w:kern w:val="2"/>
          <w:sz w:val="21"/>
          <w:szCs w:val="21"/>
        </w:rPr>
        <w:t xml:space="preserve">4 </w:t>
      </w:r>
      <w:r w:rsidRPr="00E23FD8">
        <w:rPr>
          <w:rFonts w:ascii="Times New Roman" w:eastAsia="黑体" w:hAnsi="Times New Roman"/>
          <w:b w:val="0"/>
          <w:bCs w:val="0"/>
          <w:kern w:val="2"/>
          <w:sz w:val="21"/>
          <w:szCs w:val="21"/>
        </w:rPr>
        <w:t>评价指标体系</w:t>
      </w:r>
      <w:bookmarkEnd w:id="12"/>
      <w:bookmarkEnd w:id="13"/>
      <w:bookmarkEnd w:id="14"/>
    </w:p>
    <w:p w:rsidR="001B04DC" w:rsidRPr="00E23FD8" w:rsidRDefault="001B04DC" w:rsidP="009133F1">
      <w:pPr>
        <w:pStyle w:val="2"/>
        <w:adjustRightInd w:val="0"/>
        <w:snapToGrid w:val="0"/>
        <w:spacing w:beforeLines="50" w:afterLines="50" w:line="300" w:lineRule="auto"/>
        <w:rPr>
          <w:rFonts w:ascii="Times New Roman" w:eastAsia="黑体" w:hAnsi="Times New Roman"/>
          <w:b w:val="0"/>
          <w:sz w:val="21"/>
          <w:szCs w:val="21"/>
        </w:rPr>
      </w:pPr>
      <w:r w:rsidRPr="00E23FD8">
        <w:rPr>
          <w:rFonts w:ascii="Times New Roman" w:eastAsia="黑体" w:hAnsi="Times New Roman"/>
          <w:b w:val="0"/>
          <w:bCs w:val="0"/>
          <w:kern w:val="0"/>
          <w:sz w:val="21"/>
          <w:szCs w:val="21"/>
        </w:rPr>
        <w:t xml:space="preserve">4.1 </w:t>
      </w:r>
      <w:r w:rsidRPr="00E23FD8">
        <w:rPr>
          <w:rFonts w:ascii="Times New Roman" w:eastAsia="黑体" w:hAnsi="Times New Roman"/>
          <w:b w:val="0"/>
          <w:bCs w:val="0"/>
          <w:kern w:val="0"/>
          <w:sz w:val="21"/>
          <w:szCs w:val="21"/>
        </w:rPr>
        <w:t>指标选取说明</w:t>
      </w:r>
    </w:p>
    <w:p w:rsidR="001B04DC" w:rsidRPr="00E23FD8" w:rsidRDefault="001B04DC" w:rsidP="000274D0">
      <w:pPr>
        <w:autoSpaceDE w:val="0"/>
        <w:autoSpaceDN w:val="0"/>
        <w:adjustRightInd w:val="0"/>
        <w:snapToGrid w:val="0"/>
        <w:spacing w:line="300" w:lineRule="auto"/>
        <w:ind w:firstLineChars="200" w:firstLine="420"/>
        <w:rPr>
          <w:rFonts w:ascii="Times New Roman" w:hAnsi="Times New Roman"/>
          <w:color w:val="000000"/>
          <w:kern w:val="0"/>
          <w:szCs w:val="21"/>
        </w:rPr>
      </w:pPr>
      <w:r w:rsidRPr="00E23FD8">
        <w:rPr>
          <w:rFonts w:ascii="Times New Roman" w:hAnsi="Times New Roman"/>
          <w:color w:val="000000"/>
          <w:kern w:val="0"/>
          <w:szCs w:val="21"/>
        </w:rPr>
        <w:t>本评价指标体系根据清洁生产的原则要求和指标的可度量性，进行指标选取。根据评价指标的性质，可分为定量指标和定性指标两种。</w:t>
      </w:r>
    </w:p>
    <w:p w:rsidR="001B04DC" w:rsidRPr="00E23FD8" w:rsidRDefault="001B04DC" w:rsidP="000274D0">
      <w:pPr>
        <w:autoSpaceDE w:val="0"/>
        <w:autoSpaceDN w:val="0"/>
        <w:adjustRightInd w:val="0"/>
        <w:snapToGrid w:val="0"/>
        <w:spacing w:line="300" w:lineRule="auto"/>
        <w:ind w:firstLineChars="200" w:firstLine="420"/>
        <w:rPr>
          <w:rFonts w:ascii="Times New Roman" w:hAnsi="Times New Roman"/>
          <w:color w:val="000000"/>
          <w:kern w:val="0"/>
          <w:szCs w:val="21"/>
        </w:rPr>
      </w:pPr>
      <w:r w:rsidRPr="00E23FD8">
        <w:rPr>
          <w:rFonts w:ascii="Times New Roman" w:hAnsi="Times New Roman"/>
          <w:color w:val="000000"/>
          <w:kern w:val="0"/>
          <w:szCs w:val="21"/>
        </w:rPr>
        <w:lastRenderedPageBreak/>
        <w:t>定量指标选取了有代表性的、能反映</w:t>
      </w:r>
      <w:r w:rsidRPr="00E23FD8">
        <w:rPr>
          <w:rFonts w:ascii="Times New Roman" w:hAnsi="Times New Roman"/>
          <w:color w:val="000000"/>
          <w:kern w:val="0"/>
          <w:szCs w:val="21"/>
        </w:rPr>
        <w:t>“</w:t>
      </w:r>
      <w:r w:rsidRPr="00E23FD8">
        <w:rPr>
          <w:rFonts w:ascii="Times New Roman" w:hAnsi="Times New Roman"/>
          <w:color w:val="000000"/>
          <w:kern w:val="0"/>
          <w:szCs w:val="21"/>
        </w:rPr>
        <w:t>节能</w:t>
      </w:r>
      <w:r w:rsidRPr="00E23FD8">
        <w:rPr>
          <w:rFonts w:ascii="Times New Roman" w:hAnsi="Times New Roman"/>
          <w:color w:val="000000"/>
          <w:kern w:val="0"/>
          <w:szCs w:val="21"/>
        </w:rPr>
        <w:t>”</w:t>
      </w:r>
      <w:r w:rsidRPr="00E23FD8">
        <w:rPr>
          <w:rFonts w:ascii="Times New Roman" w:hAnsi="Times New Roman"/>
          <w:color w:val="000000"/>
          <w:kern w:val="0"/>
          <w:szCs w:val="21"/>
        </w:rPr>
        <w:t>、</w:t>
      </w:r>
      <w:r w:rsidRPr="00E23FD8">
        <w:rPr>
          <w:rFonts w:ascii="Times New Roman" w:hAnsi="Times New Roman"/>
          <w:color w:val="000000"/>
          <w:kern w:val="0"/>
          <w:szCs w:val="21"/>
        </w:rPr>
        <w:t>“</w:t>
      </w:r>
      <w:r w:rsidRPr="00E23FD8">
        <w:rPr>
          <w:rFonts w:ascii="Times New Roman" w:hAnsi="Times New Roman"/>
          <w:color w:val="000000"/>
          <w:kern w:val="0"/>
          <w:szCs w:val="21"/>
        </w:rPr>
        <w:t>降耗</w:t>
      </w:r>
      <w:r w:rsidRPr="00E23FD8">
        <w:rPr>
          <w:rFonts w:ascii="Times New Roman" w:hAnsi="Times New Roman"/>
          <w:color w:val="000000"/>
          <w:kern w:val="0"/>
          <w:szCs w:val="21"/>
        </w:rPr>
        <w:t>”</w:t>
      </w:r>
      <w:r w:rsidRPr="00E23FD8">
        <w:rPr>
          <w:rFonts w:ascii="Times New Roman" w:hAnsi="Times New Roman"/>
          <w:color w:val="000000"/>
          <w:kern w:val="0"/>
          <w:szCs w:val="21"/>
        </w:rPr>
        <w:t>、</w:t>
      </w:r>
      <w:r w:rsidRPr="00E23FD8">
        <w:rPr>
          <w:rFonts w:ascii="Times New Roman" w:hAnsi="Times New Roman"/>
          <w:color w:val="000000"/>
          <w:kern w:val="0"/>
          <w:szCs w:val="21"/>
        </w:rPr>
        <w:t>“</w:t>
      </w:r>
      <w:r w:rsidRPr="00E23FD8">
        <w:rPr>
          <w:rFonts w:ascii="Times New Roman" w:hAnsi="Times New Roman"/>
          <w:color w:val="000000"/>
          <w:kern w:val="0"/>
          <w:szCs w:val="21"/>
        </w:rPr>
        <w:t>减污</w:t>
      </w:r>
      <w:r w:rsidRPr="00E23FD8">
        <w:rPr>
          <w:rFonts w:ascii="Times New Roman" w:hAnsi="Times New Roman"/>
          <w:color w:val="000000"/>
          <w:kern w:val="0"/>
          <w:szCs w:val="21"/>
        </w:rPr>
        <w:t>”</w:t>
      </w:r>
      <w:r w:rsidRPr="00E23FD8">
        <w:rPr>
          <w:rFonts w:ascii="Times New Roman" w:hAnsi="Times New Roman"/>
          <w:color w:val="000000"/>
          <w:kern w:val="0"/>
          <w:szCs w:val="21"/>
        </w:rPr>
        <w:t>和</w:t>
      </w:r>
      <w:r w:rsidRPr="00E23FD8">
        <w:rPr>
          <w:rFonts w:ascii="Times New Roman" w:hAnsi="Times New Roman"/>
          <w:color w:val="000000"/>
          <w:kern w:val="0"/>
          <w:szCs w:val="21"/>
        </w:rPr>
        <w:t>“</w:t>
      </w:r>
      <w:r w:rsidRPr="00E23FD8">
        <w:rPr>
          <w:rFonts w:ascii="Times New Roman" w:hAnsi="Times New Roman"/>
          <w:color w:val="000000"/>
          <w:kern w:val="0"/>
          <w:szCs w:val="21"/>
        </w:rPr>
        <w:t>增效</w:t>
      </w:r>
      <w:r w:rsidRPr="00E23FD8">
        <w:rPr>
          <w:rFonts w:ascii="Times New Roman" w:hAnsi="Times New Roman"/>
          <w:color w:val="000000"/>
          <w:kern w:val="0"/>
          <w:szCs w:val="21"/>
        </w:rPr>
        <w:t>”</w:t>
      </w:r>
      <w:r w:rsidRPr="00E23FD8">
        <w:rPr>
          <w:rFonts w:ascii="Times New Roman" w:hAnsi="Times New Roman"/>
          <w:color w:val="000000"/>
          <w:kern w:val="0"/>
          <w:szCs w:val="21"/>
        </w:rPr>
        <w:t>等有关清洁生产最终目标的指标，综合考评企业实施清洁生产的状况和企业清洁生产程度。定性指标根据国家有关推行清洁生产的产业发展和技术进步政策、资源环境保护政策规定以及行业发展规划选取，用于考核企业对有关政策法规的符合性及其清洁生产工作实施情况。</w:t>
      </w:r>
    </w:p>
    <w:p w:rsidR="001B04DC" w:rsidRPr="00E23FD8" w:rsidRDefault="001B04DC" w:rsidP="009133F1">
      <w:pPr>
        <w:pStyle w:val="2"/>
        <w:adjustRightInd w:val="0"/>
        <w:snapToGrid w:val="0"/>
        <w:spacing w:beforeLines="50" w:afterLines="50" w:line="300" w:lineRule="auto"/>
        <w:rPr>
          <w:rFonts w:ascii="Times New Roman" w:eastAsia="黑体" w:hAnsi="Times New Roman"/>
          <w:b w:val="0"/>
          <w:sz w:val="21"/>
          <w:szCs w:val="21"/>
        </w:rPr>
      </w:pPr>
      <w:r w:rsidRPr="00E23FD8">
        <w:rPr>
          <w:rFonts w:ascii="Times New Roman" w:eastAsia="黑体" w:hAnsi="Times New Roman"/>
          <w:b w:val="0"/>
          <w:bCs w:val="0"/>
          <w:kern w:val="0"/>
          <w:sz w:val="21"/>
          <w:szCs w:val="21"/>
        </w:rPr>
        <w:t xml:space="preserve">4.2 </w:t>
      </w:r>
      <w:r w:rsidRPr="00E23FD8">
        <w:rPr>
          <w:rFonts w:ascii="Times New Roman" w:eastAsia="黑体" w:hAnsi="Times New Roman"/>
          <w:b w:val="0"/>
          <w:bCs w:val="0"/>
          <w:kern w:val="0"/>
          <w:sz w:val="21"/>
          <w:szCs w:val="21"/>
        </w:rPr>
        <w:t>指标基准值及其说明</w:t>
      </w:r>
    </w:p>
    <w:p w:rsidR="001B04DC" w:rsidRPr="00E23FD8" w:rsidRDefault="001B04DC" w:rsidP="000274D0">
      <w:pPr>
        <w:autoSpaceDE w:val="0"/>
        <w:autoSpaceDN w:val="0"/>
        <w:adjustRightInd w:val="0"/>
        <w:snapToGrid w:val="0"/>
        <w:spacing w:line="300" w:lineRule="auto"/>
        <w:ind w:firstLineChars="200" w:firstLine="420"/>
        <w:rPr>
          <w:rFonts w:ascii="Times New Roman" w:hAnsi="Times New Roman"/>
          <w:color w:val="000000"/>
          <w:kern w:val="0"/>
          <w:szCs w:val="21"/>
        </w:rPr>
      </w:pPr>
      <w:r w:rsidRPr="00E23FD8">
        <w:rPr>
          <w:rFonts w:ascii="Times New Roman" w:hAnsi="Times New Roman"/>
          <w:color w:val="000000"/>
          <w:kern w:val="0"/>
          <w:szCs w:val="21"/>
        </w:rPr>
        <w:t>在定量评价指标中，各指标的评价基准值是衡量该项指标是否符合清洁生产基本要求的评价基准。本评价指标体系确定各定量评价指标的评价基准值的依据是：凡国家或行业在有关政策、法规及相关规划中，对该项指标已有明确要求的，执行国家要求的指标值；凡国家或行业对该项指标尚无明确要求的，则选用国内重点大中型化学原料药企业近年来清洁生产所实际达到的中上等以上水平的指标值。在定性评价指标体系中，衡量该项指标是否贯彻执行国家有关政策、法规的情况，按</w:t>
      </w:r>
      <w:r w:rsidRPr="00E23FD8">
        <w:rPr>
          <w:rFonts w:ascii="Times New Roman" w:hAnsi="Times New Roman"/>
          <w:color w:val="000000"/>
          <w:kern w:val="0"/>
          <w:szCs w:val="21"/>
        </w:rPr>
        <w:t>“</w:t>
      </w:r>
      <w:r w:rsidRPr="00E23FD8">
        <w:rPr>
          <w:rFonts w:ascii="Times New Roman" w:hAnsi="Times New Roman"/>
          <w:color w:val="000000"/>
          <w:kern w:val="0"/>
          <w:szCs w:val="21"/>
        </w:rPr>
        <w:t>是</w:t>
      </w:r>
      <w:r w:rsidRPr="00E23FD8">
        <w:rPr>
          <w:rFonts w:ascii="Times New Roman" w:hAnsi="Times New Roman"/>
          <w:color w:val="000000"/>
          <w:kern w:val="0"/>
          <w:szCs w:val="21"/>
        </w:rPr>
        <w:t>”</w:t>
      </w:r>
      <w:r w:rsidRPr="00E23FD8">
        <w:rPr>
          <w:rFonts w:ascii="Times New Roman" w:hAnsi="Times New Roman"/>
          <w:color w:val="000000"/>
          <w:kern w:val="0"/>
          <w:szCs w:val="21"/>
        </w:rPr>
        <w:t>或</w:t>
      </w:r>
      <w:r w:rsidRPr="00E23FD8">
        <w:rPr>
          <w:rFonts w:ascii="Times New Roman" w:hAnsi="Times New Roman"/>
          <w:color w:val="000000"/>
          <w:kern w:val="0"/>
          <w:szCs w:val="21"/>
        </w:rPr>
        <w:t>“</w:t>
      </w:r>
      <w:r w:rsidRPr="00E23FD8">
        <w:rPr>
          <w:rFonts w:ascii="Times New Roman" w:hAnsi="Times New Roman"/>
          <w:color w:val="000000"/>
          <w:kern w:val="0"/>
          <w:szCs w:val="21"/>
        </w:rPr>
        <w:t>否</w:t>
      </w:r>
      <w:r w:rsidRPr="00E23FD8">
        <w:rPr>
          <w:rFonts w:ascii="Times New Roman" w:hAnsi="Times New Roman"/>
          <w:color w:val="000000"/>
          <w:kern w:val="0"/>
          <w:szCs w:val="21"/>
        </w:rPr>
        <w:t>”</w:t>
      </w:r>
      <w:r w:rsidRPr="00E23FD8">
        <w:rPr>
          <w:rFonts w:ascii="Times New Roman" w:hAnsi="Times New Roman"/>
          <w:color w:val="000000"/>
          <w:kern w:val="0"/>
          <w:szCs w:val="21"/>
        </w:rPr>
        <w:t>两种选择来评定。</w:t>
      </w:r>
    </w:p>
    <w:p w:rsidR="001B04DC" w:rsidRPr="00E23FD8" w:rsidRDefault="001B04DC" w:rsidP="009133F1">
      <w:pPr>
        <w:pStyle w:val="2"/>
        <w:adjustRightInd w:val="0"/>
        <w:snapToGrid w:val="0"/>
        <w:spacing w:beforeLines="50" w:afterLines="50" w:line="300" w:lineRule="auto"/>
        <w:rPr>
          <w:rFonts w:ascii="Times New Roman" w:eastAsia="黑体" w:hAnsi="Times New Roman"/>
          <w:b w:val="0"/>
          <w:sz w:val="21"/>
          <w:szCs w:val="21"/>
        </w:rPr>
      </w:pPr>
      <w:r w:rsidRPr="00E23FD8">
        <w:rPr>
          <w:rFonts w:ascii="Times New Roman" w:eastAsia="黑体" w:hAnsi="Times New Roman"/>
          <w:b w:val="0"/>
          <w:bCs w:val="0"/>
          <w:kern w:val="0"/>
          <w:sz w:val="21"/>
          <w:szCs w:val="21"/>
        </w:rPr>
        <w:t xml:space="preserve">4.3 </w:t>
      </w:r>
      <w:r w:rsidRPr="00E23FD8">
        <w:rPr>
          <w:rFonts w:ascii="Times New Roman" w:eastAsia="黑体" w:hAnsi="Times New Roman"/>
          <w:b w:val="0"/>
          <w:bCs w:val="0"/>
          <w:kern w:val="0"/>
          <w:sz w:val="21"/>
          <w:szCs w:val="21"/>
        </w:rPr>
        <w:t>指标体系</w:t>
      </w:r>
    </w:p>
    <w:p w:rsidR="00A84DEE" w:rsidRPr="00E23FD8" w:rsidRDefault="00476917" w:rsidP="000274D0">
      <w:pPr>
        <w:pStyle w:val="Default"/>
        <w:snapToGrid w:val="0"/>
        <w:spacing w:line="300" w:lineRule="auto"/>
        <w:jc w:val="both"/>
        <w:rPr>
          <w:rFonts w:ascii="Times New Roman" w:eastAsia="黑体" w:hAnsi="Times New Roman" w:cs="Times New Roman"/>
          <w:sz w:val="21"/>
          <w:szCs w:val="21"/>
        </w:rPr>
      </w:pPr>
      <w:bookmarkStart w:id="15" w:name="_Toc368639118"/>
      <w:r w:rsidRPr="00E23FD8">
        <w:rPr>
          <w:rFonts w:ascii="Times New Roman" w:eastAsia="黑体" w:hAnsi="Times New Roman" w:cs="Times New Roman"/>
          <w:sz w:val="21"/>
          <w:szCs w:val="21"/>
        </w:rPr>
        <w:t>4.</w:t>
      </w:r>
      <w:r w:rsidR="001B04DC" w:rsidRPr="00E23FD8">
        <w:rPr>
          <w:rFonts w:ascii="Times New Roman" w:eastAsia="黑体" w:hAnsi="Times New Roman" w:cs="Times New Roman"/>
          <w:sz w:val="21"/>
          <w:szCs w:val="21"/>
        </w:rPr>
        <w:t>3</w:t>
      </w:r>
      <w:r w:rsidR="00A84DEE" w:rsidRPr="00E23FD8">
        <w:rPr>
          <w:rFonts w:ascii="Times New Roman" w:eastAsia="黑体" w:hAnsi="Times New Roman" w:cs="Times New Roman"/>
          <w:sz w:val="21"/>
          <w:szCs w:val="21"/>
        </w:rPr>
        <w:t xml:space="preserve">.1 </w:t>
      </w:r>
      <w:r w:rsidR="00A84DEE" w:rsidRPr="00E23FD8">
        <w:rPr>
          <w:rFonts w:ascii="Times New Roman" w:eastAsia="黑体" w:hAnsi="Times New Roman" w:cs="Times New Roman"/>
          <w:sz w:val="21"/>
          <w:szCs w:val="21"/>
        </w:rPr>
        <w:t>化学合成原料药企业清洁生产评价指标体系</w:t>
      </w:r>
      <w:bookmarkEnd w:id="15"/>
      <w:r w:rsidR="00D9094C" w:rsidRPr="00E23FD8">
        <w:rPr>
          <w:rFonts w:ascii="Times New Roman" w:eastAsia="黑体" w:hAnsi="Times New Roman" w:cs="Times New Roman"/>
          <w:sz w:val="21"/>
          <w:szCs w:val="21"/>
        </w:rPr>
        <w:t>（见表</w:t>
      </w:r>
      <w:r w:rsidR="00D9094C" w:rsidRPr="00E23FD8">
        <w:rPr>
          <w:rFonts w:ascii="Times New Roman" w:eastAsia="黑体" w:hAnsi="Times New Roman" w:cs="Times New Roman"/>
          <w:sz w:val="21"/>
          <w:szCs w:val="21"/>
        </w:rPr>
        <w:t>1</w:t>
      </w:r>
      <w:r w:rsidR="00D9094C" w:rsidRPr="00E23FD8">
        <w:rPr>
          <w:rFonts w:ascii="Times New Roman" w:eastAsia="黑体" w:hAnsi="Times New Roman" w:cs="Times New Roman"/>
          <w:sz w:val="21"/>
          <w:szCs w:val="21"/>
        </w:rPr>
        <w:t>）</w:t>
      </w:r>
    </w:p>
    <w:p w:rsidR="00D9094C" w:rsidRPr="00E23FD8" w:rsidRDefault="00D9094C" w:rsidP="000274D0">
      <w:pPr>
        <w:pStyle w:val="Default"/>
        <w:snapToGrid w:val="0"/>
        <w:spacing w:line="300" w:lineRule="auto"/>
        <w:jc w:val="both"/>
        <w:rPr>
          <w:rFonts w:ascii="Times New Roman" w:eastAsia="黑体" w:hAnsi="Times New Roman" w:cs="Times New Roman"/>
          <w:sz w:val="21"/>
          <w:szCs w:val="21"/>
        </w:rPr>
      </w:pPr>
      <w:r w:rsidRPr="00E23FD8">
        <w:rPr>
          <w:rFonts w:ascii="Times New Roman" w:eastAsia="黑体" w:hAnsi="Times New Roman" w:cs="Times New Roman"/>
          <w:sz w:val="21"/>
          <w:szCs w:val="21"/>
        </w:rPr>
        <w:t>4.</w:t>
      </w:r>
      <w:r w:rsidR="001B04DC" w:rsidRPr="00E23FD8">
        <w:rPr>
          <w:rFonts w:ascii="Times New Roman" w:eastAsia="黑体" w:hAnsi="Times New Roman" w:cs="Times New Roman"/>
          <w:sz w:val="21"/>
          <w:szCs w:val="21"/>
        </w:rPr>
        <w:t>3</w:t>
      </w:r>
      <w:r w:rsidRPr="00E23FD8">
        <w:rPr>
          <w:rFonts w:ascii="Times New Roman" w:eastAsia="黑体" w:hAnsi="Times New Roman" w:cs="Times New Roman"/>
          <w:sz w:val="21"/>
          <w:szCs w:val="21"/>
        </w:rPr>
        <w:t xml:space="preserve">.2 </w:t>
      </w:r>
      <w:r w:rsidRPr="00E23FD8">
        <w:rPr>
          <w:rFonts w:ascii="Times New Roman" w:eastAsia="黑体" w:hAnsi="Times New Roman" w:cs="Times New Roman"/>
          <w:sz w:val="21"/>
          <w:szCs w:val="21"/>
        </w:rPr>
        <w:t>动、植物提取原料药企业清洁生产评价指标体系（见表</w:t>
      </w:r>
      <w:r w:rsidRPr="00E23FD8">
        <w:rPr>
          <w:rFonts w:ascii="Times New Roman" w:eastAsia="黑体" w:hAnsi="Times New Roman" w:cs="Times New Roman"/>
          <w:sz w:val="21"/>
          <w:szCs w:val="21"/>
        </w:rPr>
        <w:t>2</w:t>
      </w:r>
      <w:r w:rsidRPr="00E23FD8">
        <w:rPr>
          <w:rFonts w:ascii="Times New Roman" w:eastAsia="黑体" w:hAnsi="Times New Roman" w:cs="Times New Roman"/>
          <w:sz w:val="21"/>
          <w:szCs w:val="21"/>
        </w:rPr>
        <w:t>）</w:t>
      </w:r>
    </w:p>
    <w:p w:rsidR="00A84DEE" w:rsidRPr="00E23FD8" w:rsidRDefault="00824211" w:rsidP="000274D0">
      <w:pPr>
        <w:adjustRightInd w:val="0"/>
        <w:snapToGrid w:val="0"/>
        <w:spacing w:line="300" w:lineRule="auto"/>
        <w:jc w:val="left"/>
        <w:rPr>
          <w:rFonts w:ascii="Times New Roman" w:hAnsi="Times New Roman"/>
          <w:sz w:val="24"/>
          <w:szCs w:val="24"/>
        </w:rPr>
      </w:pPr>
      <w:r w:rsidRPr="00E23FD8">
        <w:rPr>
          <w:rFonts w:ascii="Times New Roman" w:eastAsia="黑体" w:hAnsi="Times New Roman"/>
          <w:color w:val="000000"/>
          <w:kern w:val="0"/>
          <w:szCs w:val="21"/>
        </w:rPr>
        <w:t>4.</w:t>
      </w:r>
      <w:r w:rsidR="001B04DC" w:rsidRPr="00E23FD8">
        <w:rPr>
          <w:rFonts w:ascii="Times New Roman" w:eastAsia="黑体" w:hAnsi="Times New Roman"/>
          <w:color w:val="000000"/>
          <w:kern w:val="0"/>
          <w:szCs w:val="21"/>
        </w:rPr>
        <w:t>3</w:t>
      </w:r>
      <w:r w:rsidRPr="00E23FD8">
        <w:rPr>
          <w:rFonts w:ascii="Times New Roman" w:eastAsia="黑体" w:hAnsi="Times New Roman"/>
          <w:color w:val="000000"/>
          <w:kern w:val="0"/>
          <w:szCs w:val="21"/>
        </w:rPr>
        <w:t xml:space="preserve">.3 </w:t>
      </w:r>
      <w:r w:rsidRPr="00E23FD8">
        <w:rPr>
          <w:rFonts w:ascii="Times New Roman" w:eastAsia="黑体" w:hAnsi="Times New Roman"/>
          <w:color w:val="000000"/>
          <w:kern w:val="0"/>
          <w:szCs w:val="21"/>
        </w:rPr>
        <w:t>微生物发酵原料药企业清洁生产评价指标体系（见表</w:t>
      </w:r>
      <w:r w:rsidRPr="00E23FD8">
        <w:rPr>
          <w:rFonts w:ascii="Times New Roman" w:eastAsia="黑体" w:hAnsi="Times New Roman"/>
          <w:color w:val="000000"/>
          <w:kern w:val="0"/>
          <w:szCs w:val="21"/>
        </w:rPr>
        <w:t>3</w:t>
      </w:r>
      <w:r w:rsidRPr="00E23FD8">
        <w:rPr>
          <w:rFonts w:ascii="Times New Roman" w:eastAsia="黑体" w:hAnsi="Times New Roman"/>
          <w:color w:val="000000"/>
          <w:kern w:val="0"/>
          <w:szCs w:val="21"/>
        </w:rPr>
        <w:t>）</w:t>
      </w:r>
    </w:p>
    <w:p w:rsidR="007619F4" w:rsidRPr="00E23FD8" w:rsidRDefault="007619F4" w:rsidP="000274D0">
      <w:pPr>
        <w:adjustRightInd w:val="0"/>
        <w:snapToGrid w:val="0"/>
        <w:spacing w:line="300" w:lineRule="auto"/>
        <w:jc w:val="center"/>
        <w:rPr>
          <w:rFonts w:ascii="Times New Roman" w:hAnsi="Times New Roman"/>
          <w:sz w:val="24"/>
          <w:szCs w:val="24"/>
        </w:rPr>
        <w:sectPr w:rsidR="007619F4" w:rsidRPr="00E23FD8" w:rsidSect="003E7DBF">
          <w:pgSz w:w="11906" w:h="16838"/>
          <w:pgMar w:top="1928" w:right="1616" w:bottom="1474" w:left="1616" w:header="851" w:footer="1247" w:gutter="0"/>
          <w:pgNumType w:start="1"/>
          <w:cols w:space="425"/>
          <w:docGrid w:linePitch="312"/>
        </w:sectPr>
      </w:pPr>
    </w:p>
    <w:p w:rsidR="00A84DEE" w:rsidRPr="00E23FD8" w:rsidRDefault="00A84DEE" w:rsidP="000274D0">
      <w:pPr>
        <w:adjustRightInd w:val="0"/>
        <w:snapToGrid w:val="0"/>
        <w:spacing w:line="300" w:lineRule="auto"/>
        <w:jc w:val="center"/>
        <w:rPr>
          <w:rFonts w:ascii="Times New Roman" w:eastAsia="黑体" w:hAnsi="Times New Roman"/>
          <w:szCs w:val="21"/>
        </w:rPr>
      </w:pPr>
      <w:r w:rsidRPr="00E23FD8">
        <w:rPr>
          <w:rFonts w:ascii="Times New Roman" w:eastAsia="黑体" w:hAnsi="Times New Roman"/>
          <w:szCs w:val="21"/>
        </w:rPr>
        <w:lastRenderedPageBreak/>
        <w:t>表</w:t>
      </w:r>
      <w:r w:rsidR="00D9094C" w:rsidRPr="00E23FD8">
        <w:rPr>
          <w:rFonts w:ascii="Times New Roman" w:eastAsia="黑体" w:hAnsi="Times New Roman"/>
          <w:szCs w:val="21"/>
        </w:rPr>
        <w:t>1</w:t>
      </w:r>
      <w:r w:rsidRPr="00E23FD8">
        <w:rPr>
          <w:rFonts w:ascii="Times New Roman" w:eastAsia="黑体" w:hAnsi="Times New Roman"/>
          <w:szCs w:val="21"/>
        </w:rPr>
        <w:t>化学合成法原料药清洁生产定量评价指标项目、权重及基准值</w:t>
      </w:r>
    </w:p>
    <w:tbl>
      <w:tblPr>
        <w:tblW w:w="5000" w:type="pct"/>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4A0"/>
      </w:tblPr>
      <w:tblGrid>
        <w:gridCol w:w="672"/>
        <w:gridCol w:w="1362"/>
        <w:gridCol w:w="1746"/>
        <w:gridCol w:w="2701"/>
        <w:gridCol w:w="827"/>
        <w:gridCol w:w="1723"/>
        <w:gridCol w:w="1513"/>
        <w:gridCol w:w="1484"/>
        <w:gridCol w:w="2190"/>
      </w:tblGrid>
      <w:tr w:rsidR="00371FFD" w:rsidRPr="00E23FD8" w:rsidTr="000274D0">
        <w:trPr>
          <w:tblHeader/>
          <w:jc w:val="center"/>
        </w:trPr>
        <w:tc>
          <w:tcPr>
            <w:tcW w:w="236"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bookmarkStart w:id="16" w:name="_Toc368639119"/>
            <w:r w:rsidRPr="000274D0">
              <w:rPr>
                <w:rFonts w:ascii="黑体" w:eastAsia="黑体" w:hAnsi="黑体"/>
                <w:kern w:val="0"/>
                <w:sz w:val="18"/>
                <w:szCs w:val="18"/>
              </w:rPr>
              <w:t>序号</w:t>
            </w:r>
          </w:p>
        </w:tc>
        <w:tc>
          <w:tcPr>
            <w:tcW w:w="479"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w:t>
            </w:r>
          </w:p>
        </w:tc>
        <w:tc>
          <w:tcPr>
            <w:tcW w:w="614"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一级指标权重</w:t>
            </w:r>
          </w:p>
        </w:tc>
        <w:tc>
          <w:tcPr>
            <w:tcW w:w="950"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w:t>
            </w:r>
          </w:p>
        </w:tc>
        <w:tc>
          <w:tcPr>
            <w:tcW w:w="291"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单位</w:t>
            </w:r>
          </w:p>
        </w:tc>
        <w:tc>
          <w:tcPr>
            <w:tcW w:w="606"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二级指标权重</w:t>
            </w:r>
          </w:p>
        </w:tc>
        <w:tc>
          <w:tcPr>
            <w:tcW w:w="532"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Ⅰ</w:t>
            </w:r>
            <w:r w:rsidRPr="000274D0">
              <w:rPr>
                <w:rFonts w:ascii="黑体" w:eastAsia="黑体" w:hAnsi="黑体"/>
                <w:kern w:val="0"/>
                <w:sz w:val="18"/>
                <w:szCs w:val="18"/>
              </w:rPr>
              <w:t>级基准值</w:t>
            </w:r>
          </w:p>
        </w:tc>
        <w:tc>
          <w:tcPr>
            <w:tcW w:w="522"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Ⅱ</w:t>
            </w:r>
            <w:r w:rsidRPr="000274D0">
              <w:rPr>
                <w:rFonts w:ascii="黑体" w:eastAsia="黑体" w:hAnsi="黑体"/>
                <w:kern w:val="0"/>
                <w:sz w:val="18"/>
                <w:szCs w:val="18"/>
              </w:rPr>
              <w:t>级基准值</w:t>
            </w:r>
          </w:p>
        </w:tc>
        <w:tc>
          <w:tcPr>
            <w:tcW w:w="770"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Ⅲ</w:t>
            </w:r>
            <w:r w:rsidRPr="000274D0">
              <w:rPr>
                <w:rFonts w:ascii="黑体" w:eastAsia="黑体" w:hAnsi="黑体"/>
                <w:kern w:val="0"/>
                <w:sz w:val="18"/>
                <w:szCs w:val="18"/>
              </w:rPr>
              <w:t>级基准值</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w:t>
            </w:r>
          </w:p>
        </w:tc>
        <w:tc>
          <w:tcPr>
            <w:tcW w:w="479"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生产工艺及装备指标</w:t>
            </w:r>
          </w:p>
        </w:tc>
        <w:tc>
          <w:tcPr>
            <w:tcW w:w="614"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工艺类型</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0.6</w:t>
            </w:r>
          </w:p>
        </w:tc>
        <w:tc>
          <w:tcPr>
            <w:tcW w:w="1054"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使用催化剂，中温与低温反应，离子交换纯化，不使用一类溶剂，二类溶剂使用量不超过使用溶剂总量的</w:t>
            </w:r>
            <w:r w:rsidRPr="00E23FD8">
              <w:rPr>
                <w:rFonts w:ascii="Times New Roman" w:hAnsi="Times New Roman"/>
                <w:sz w:val="18"/>
                <w:szCs w:val="18"/>
              </w:rPr>
              <w:t>20%</w:t>
            </w:r>
          </w:p>
        </w:tc>
        <w:tc>
          <w:tcPr>
            <w:tcW w:w="770"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使用催化剂，中温与低温反应，不使用一类溶剂，二类溶剂使用量不超过使用溶剂总量的</w:t>
            </w:r>
            <w:r w:rsidRPr="00E23FD8">
              <w:rPr>
                <w:rFonts w:ascii="Times New Roman" w:hAnsi="Times New Roman"/>
                <w:sz w:val="18"/>
                <w:szCs w:val="18"/>
              </w:rPr>
              <w:t>30%</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bookmarkStart w:id="17" w:name="_Hlk456083153"/>
            <w:r w:rsidRPr="00E23FD8">
              <w:rPr>
                <w:rFonts w:ascii="Times New Roman" w:hAnsi="Times New Roman"/>
                <w:kern w:val="0"/>
                <w:sz w:val="18"/>
                <w:szCs w:val="18"/>
              </w:rPr>
              <w:t>2</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装备设备</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1054"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使用膜分离或多效浓缩，自动控制系统和生产监控系统，</w:t>
            </w:r>
            <w:bookmarkStart w:id="18" w:name="OLE_LINK1"/>
            <w:bookmarkStart w:id="19" w:name="OLE_LINK2"/>
            <w:r w:rsidRPr="00E23FD8">
              <w:rPr>
                <w:rFonts w:ascii="Times New Roman" w:hAnsi="Times New Roman"/>
                <w:sz w:val="18"/>
                <w:szCs w:val="18"/>
              </w:rPr>
              <w:t>封闭式离心机、过滤机、载气循环干燥器、浮顶式溶剂储存</w:t>
            </w:r>
            <w:bookmarkEnd w:id="18"/>
            <w:bookmarkEnd w:id="19"/>
            <w:r w:rsidRPr="00E23FD8">
              <w:rPr>
                <w:rFonts w:ascii="Times New Roman" w:hAnsi="Times New Roman"/>
                <w:sz w:val="18"/>
                <w:szCs w:val="18"/>
              </w:rPr>
              <w:t>回收等设备</w:t>
            </w:r>
          </w:p>
        </w:tc>
        <w:tc>
          <w:tcPr>
            <w:tcW w:w="770"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使用膜分离或多效浓缩，封闭式离心机、过滤机、载气循环干燥器、浮顶式溶剂储罐等</w:t>
            </w:r>
          </w:p>
        </w:tc>
      </w:tr>
      <w:bookmarkEnd w:id="17"/>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3</w:t>
            </w:r>
          </w:p>
        </w:tc>
        <w:tc>
          <w:tcPr>
            <w:tcW w:w="479" w:type="pct"/>
            <w:vMerge w:val="restar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资源能源消耗指标</w:t>
            </w:r>
          </w:p>
        </w:tc>
        <w:tc>
          <w:tcPr>
            <w:tcW w:w="614" w:type="pct"/>
            <w:vMerge w:val="restar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950"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单位产品综合能耗</w:t>
            </w:r>
          </w:p>
        </w:tc>
        <w:tc>
          <w:tcPr>
            <w:tcW w:w="291" w:type="pct"/>
            <w:vAlign w:val="center"/>
          </w:tcPr>
          <w:p w:rsidR="007225E6" w:rsidRPr="00E23FD8" w:rsidRDefault="001E312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w:t>
            </w:r>
            <w:r w:rsidR="007225E6" w:rsidRPr="00E23FD8">
              <w:rPr>
                <w:rFonts w:ascii="Times New Roman" w:hAnsi="Times New Roman"/>
                <w:kern w:val="0"/>
                <w:sz w:val="18"/>
                <w:szCs w:val="18"/>
              </w:rPr>
              <w:t>ec/t</w:t>
            </w:r>
          </w:p>
        </w:tc>
        <w:tc>
          <w:tcPr>
            <w:tcW w:w="606" w:type="pct"/>
            <w:vAlign w:val="center"/>
          </w:tcPr>
          <w:p w:rsidR="007225E6"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532" w:type="pct"/>
            <w:vAlign w:val="center"/>
          </w:tcPr>
          <w:p w:rsidR="007225E6" w:rsidRPr="00E23FD8" w:rsidRDefault="00BD650F"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≤5</w:t>
            </w:r>
          </w:p>
        </w:tc>
        <w:tc>
          <w:tcPr>
            <w:tcW w:w="522" w:type="pct"/>
            <w:vAlign w:val="center"/>
          </w:tcPr>
          <w:p w:rsidR="007225E6" w:rsidRPr="00E23FD8" w:rsidRDefault="00BD650F"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w:t>
            </w:r>
          </w:p>
        </w:tc>
        <w:tc>
          <w:tcPr>
            <w:tcW w:w="770" w:type="pct"/>
            <w:vAlign w:val="center"/>
          </w:tcPr>
          <w:p w:rsidR="007225E6" w:rsidRPr="00E23FD8" w:rsidRDefault="00BD650F"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≤15</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4</w:t>
            </w:r>
          </w:p>
        </w:tc>
        <w:tc>
          <w:tcPr>
            <w:tcW w:w="479"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00047138" w:rsidRPr="00E23FD8">
              <w:rPr>
                <w:rFonts w:ascii="Times New Roman" w:hAnsi="Times New Roman"/>
                <w:kern w:val="0"/>
                <w:sz w:val="18"/>
                <w:szCs w:val="18"/>
              </w:rPr>
              <w:t>单位产品取水量</w:t>
            </w:r>
          </w:p>
        </w:tc>
        <w:tc>
          <w:tcPr>
            <w:tcW w:w="291"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606" w:type="pct"/>
            <w:vAlign w:val="center"/>
          </w:tcPr>
          <w:p w:rsidR="007225E6"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53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B80E91" w:rsidRPr="00E23FD8">
              <w:rPr>
                <w:rFonts w:ascii="Times New Roman" w:hAnsi="Times New Roman"/>
                <w:sz w:val="18"/>
                <w:szCs w:val="18"/>
              </w:rPr>
              <w:t>4</w:t>
            </w:r>
            <w:r w:rsidR="00BD650F" w:rsidRPr="00E23FD8">
              <w:rPr>
                <w:rFonts w:ascii="Times New Roman" w:hAnsi="Times New Roman"/>
                <w:sz w:val="18"/>
                <w:szCs w:val="18"/>
              </w:rPr>
              <w:t>0</w:t>
            </w:r>
            <w:r w:rsidRPr="00E23FD8">
              <w:rPr>
                <w:rFonts w:ascii="Times New Roman" w:hAnsi="Times New Roman"/>
                <w:sz w:val="18"/>
                <w:szCs w:val="18"/>
              </w:rPr>
              <w:t>0</w:t>
            </w:r>
          </w:p>
        </w:tc>
        <w:tc>
          <w:tcPr>
            <w:tcW w:w="52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B80E91" w:rsidRPr="00E23FD8">
              <w:rPr>
                <w:rFonts w:ascii="Times New Roman" w:hAnsi="Times New Roman"/>
                <w:sz w:val="18"/>
                <w:szCs w:val="18"/>
              </w:rPr>
              <w:t>5</w:t>
            </w:r>
            <w:r w:rsidRPr="00E23FD8">
              <w:rPr>
                <w:rFonts w:ascii="Times New Roman" w:hAnsi="Times New Roman"/>
                <w:sz w:val="18"/>
                <w:szCs w:val="18"/>
              </w:rPr>
              <w:t>00</w:t>
            </w:r>
          </w:p>
        </w:tc>
        <w:tc>
          <w:tcPr>
            <w:tcW w:w="77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B80E91" w:rsidRPr="00E23FD8">
              <w:rPr>
                <w:rFonts w:ascii="Times New Roman" w:hAnsi="Times New Roman"/>
                <w:sz w:val="18"/>
                <w:szCs w:val="18"/>
              </w:rPr>
              <w:t>6</w:t>
            </w:r>
            <w:r w:rsidR="00BD650F" w:rsidRPr="00E23FD8">
              <w:rPr>
                <w:rFonts w:ascii="Times New Roman" w:hAnsi="Times New Roman"/>
                <w:sz w:val="18"/>
                <w:szCs w:val="18"/>
              </w:rPr>
              <w:t>0</w:t>
            </w:r>
            <w:r w:rsidRPr="00E23FD8">
              <w:rPr>
                <w:rFonts w:ascii="Times New Roman" w:hAnsi="Times New Roman"/>
                <w:sz w:val="18"/>
                <w:szCs w:val="18"/>
              </w:rPr>
              <w:t>0</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5</w:t>
            </w:r>
          </w:p>
        </w:tc>
        <w:tc>
          <w:tcPr>
            <w:tcW w:w="479"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单位产品原辅料</w:t>
            </w:r>
            <w:r w:rsidR="005407B6" w:rsidRPr="00E23FD8">
              <w:rPr>
                <w:rFonts w:ascii="Times New Roman" w:hAnsi="Times New Roman"/>
                <w:kern w:val="0"/>
                <w:sz w:val="18"/>
                <w:szCs w:val="18"/>
              </w:rPr>
              <w:t>总</w:t>
            </w:r>
            <w:r w:rsidRPr="00E23FD8">
              <w:rPr>
                <w:rFonts w:ascii="Times New Roman" w:hAnsi="Times New Roman"/>
                <w:kern w:val="0"/>
                <w:sz w:val="18"/>
                <w:szCs w:val="18"/>
              </w:rPr>
              <w:t>消耗</w:t>
            </w:r>
          </w:p>
        </w:tc>
        <w:tc>
          <w:tcPr>
            <w:tcW w:w="291"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606" w:type="pct"/>
            <w:vAlign w:val="center"/>
          </w:tcPr>
          <w:p w:rsidR="007225E6"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53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w:t>
            </w:r>
          </w:p>
        </w:tc>
        <w:tc>
          <w:tcPr>
            <w:tcW w:w="52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≤5</w:t>
            </w:r>
          </w:p>
        </w:tc>
        <w:tc>
          <w:tcPr>
            <w:tcW w:w="77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≤6</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6</w:t>
            </w:r>
          </w:p>
        </w:tc>
        <w:tc>
          <w:tcPr>
            <w:tcW w:w="479" w:type="pct"/>
            <w:vMerge w:val="restar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资源综合利用指标</w:t>
            </w:r>
          </w:p>
        </w:tc>
        <w:tc>
          <w:tcPr>
            <w:tcW w:w="614" w:type="pct"/>
            <w:vMerge w:val="restar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950" w:type="pct"/>
            <w:vAlign w:val="center"/>
          </w:tcPr>
          <w:p w:rsidR="007225E6" w:rsidRPr="00E23FD8" w:rsidRDefault="007225E6"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副产物利用率</w:t>
            </w:r>
          </w:p>
        </w:tc>
        <w:tc>
          <w:tcPr>
            <w:tcW w:w="291" w:type="pct"/>
            <w:vAlign w:val="center"/>
          </w:tcPr>
          <w:p w:rsidR="007225E6" w:rsidRPr="00E23FD8" w:rsidRDefault="007225E6"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w:t>
            </w:r>
          </w:p>
        </w:tc>
        <w:tc>
          <w:tcPr>
            <w:tcW w:w="60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32" w:type="pct"/>
            <w:vAlign w:val="center"/>
          </w:tcPr>
          <w:p w:rsidR="007225E6" w:rsidRPr="00E23FD8" w:rsidRDefault="007225E6"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≥80</w:t>
            </w:r>
          </w:p>
        </w:tc>
        <w:tc>
          <w:tcPr>
            <w:tcW w:w="522" w:type="pct"/>
            <w:vAlign w:val="center"/>
          </w:tcPr>
          <w:p w:rsidR="007225E6" w:rsidRPr="00E23FD8" w:rsidRDefault="007225E6"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≥70</w:t>
            </w:r>
          </w:p>
        </w:tc>
        <w:tc>
          <w:tcPr>
            <w:tcW w:w="770" w:type="pct"/>
            <w:vAlign w:val="center"/>
          </w:tcPr>
          <w:p w:rsidR="007225E6" w:rsidRPr="00E23FD8" w:rsidRDefault="007225E6"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≥60</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7</w:t>
            </w:r>
          </w:p>
        </w:tc>
        <w:tc>
          <w:tcPr>
            <w:tcW w:w="479"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试剂、溶剂重复利用率</w:t>
            </w:r>
          </w:p>
        </w:tc>
        <w:tc>
          <w:tcPr>
            <w:tcW w:w="291"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60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53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w:t>
            </w:r>
            <w:r w:rsidR="00C62CB2" w:rsidRPr="00E23FD8">
              <w:rPr>
                <w:rFonts w:ascii="Times New Roman" w:hAnsi="Times New Roman"/>
                <w:sz w:val="18"/>
                <w:szCs w:val="18"/>
              </w:rPr>
              <w:t>0</w:t>
            </w:r>
          </w:p>
        </w:tc>
        <w:tc>
          <w:tcPr>
            <w:tcW w:w="52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C62CB2" w:rsidRPr="00E23FD8">
              <w:rPr>
                <w:rFonts w:ascii="Times New Roman" w:hAnsi="Times New Roman"/>
                <w:sz w:val="18"/>
                <w:szCs w:val="18"/>
              </w:rPr>
              <w:t>8</w:t>
            </w:r>
            <w:r w:rsidRPr="00E23FD8">
              <w:rPr>
                <w:rFonts w:ascii="Times New Roman" w:hAnsi="Times New Roman"/>
                <w:sz w:val="18"/>
                <w:szCs w:val="18"/>
              </w:rPr>
              <w:t>0</w:t>
            </w:r>
          </w:p>
        </w:tc>
        <w:tc>
          <w:tcPr>
            <w:tcW w:w="77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C62CB2" w:rsidRPr="00E23FD8">
              <w:rPr>
                <w:rFonts w:ascii="Times New Roman" w:hAnsi="Times New Roman"/>
                <w:sz w:val="18"/>
                <w:szCs w:val="18"/>
              </w:rPr>
              <w:t>70</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8</w:t>
            </w:r>
          </w:p>
        </w:tc>
        <w:tc>
          <w:tcPr>
            <w:tcW w:w="479"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水重复利用率</w:t>
            </w:r>
          </w:p>
        </w:tc>
        <w:tc>
          <w:tcPr>
            <w:tcW w:w="291"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60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w:t>
            </w:r>
            <w:r w:rsidR="00147D37" w:rsidRPr="00E23FD8">
              <w:rPr>
                <w:rFonts w:ascii="Times New Roman" w:hAnsi="Times New Roman"/>
                <w:kern w:val="0"/>
                <w:sz w:val="18"/>
                <w:szCs w:val="18"/>
              </w:rPr>
              <w:t>3</w:t>
            </w:r>
          </w:p>
        </w:tc>
        <w:tc>
          <w:tcPr>
            <w:tcW w:w="53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w:t>
            </w:r>
            <w:r w:rsidR="00C62CB2" w:rsidRPr="00E23FD8">
              <w:rPr>
                <w:rFonts w:ascii="Times New Roman" w:hAnsi="Times New Roman"/>
                <w:sz w:val="18"/>
                <w:szCs w:val="18"/>
              </w:rPr>
              <w:t>5</w:t>
            </w:r>
          </w:p>
        </w:tc>
        <w:tc>
          <w:tcPr>
            <w:tcW w:w="52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B80E91" w:rsidRPr="00E23FD8">
              <w:rPr>
                <w:rFonts w:ascii="Times New Roman" w:hAnsi="Times New Roman"/>
                <w:sz w:val="18"/>
                <w:szCs w:val="18"/>
              </w:rPr>
              <w:t>9</w:t>
            </w:r>
            <w:r w:rsidR="00C62CB2" w:rsidRPr="00E23FD8">
              <w:rPr>
                <w:rFonts w:ascii="Times New Roman" w:hAnsi="Times New Roman"/>
                <w:sz w:val="18"/>
                <w:szCs w:val="18"/>
              </w:rPr>
              <w:t>0</w:t>
            </w:r>
          </w:p>
        </w:tc>
        <w:tc>
          <w:tcPr>
            <w:tcW w:w="77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C62CB2" w:rsidRPr="00E23FD8">
              <w:rPr>
                <w:rFonts w:ascii="Times New Roman" w:hAnsi="Times New Roman"/>
                <w:sz w:val="18"/>
                <w:szCs w:val="18"/>
              </w:rPr>
              <w:t>8</w:t>
            </w:r>
            <w:r w:rsidR="00B80E91" w:rsidRPr="00E23FD8">
              <w:rPr>
                <w:rFonts w:ascii="Times New Roman" w:hAnsi="Times New Roman"/>
                <w:sz w:val="18"/>
                <w:szCs w:val="18"/>
              </w:rPr>
              <w:t>5</w:t>
            </w:r>
          </w:p>
        </w:tc>
      </w:tr>
      <w:tr w:rsidR="007225E6" w:rsidRPr="00E23FD8" w:rsidTr="000274D0">
        <w:trPr>
          <w:jc w:val="center"/>
        </w:trPr>
        <w:tc>
          <w:tcPr>
            <w:tcW w:w="23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9</w:t>
            </w:r>
          </w:p>
        </w:tc>
        <w:tc>
          <w:tcPr>
            <w:tcW w:w="479"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产品包装可再生或降解率</w:t>
            </w:r>
          </w:p>
        </w:tc>
        <w:tc>
          <w:tcPr>
            <w:tcW w:w="291"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606" w:type="pct"/>
            <w:vAlign w:val="center"/>
          </w:tcPr>
          <w:p w:rsidR="007225E6"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53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c>
          <w:tcPr>
            <w:tcW w:w="522"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c>
          <w:tcPr>
            <w:tcW w:w="770" w:type="pct"/>
            <w:vAlign w:val="center"/>
          </w:tcPr>
          <w:p w:rsidR="007225E6" w:rsidRPr="00E23FD8" w:rsidRDefault="007225E6"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r>
      <w:tr w:rsidR="00B80E91" w:rsidRPr="00E23FD8" w:rsidTr="000274D0">
        <w:trPr>
          <w:jc w:val="center"/>
        </w:trPr>
        <w:tc>
          <w:tcPr>
            <w:tcW w:w="236" w:type="pct"/>
            <w:vAlign w:val="center"/>
          </w:tcPr>
          <w:p w:rsidR="00B80E91" w:rsidRPr="00E23FD8" w:rsidRDefault="00147D3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10</w:t>
            </w:r>
          </w:p>
        </w:tc>
        <w:tc>
          <w:tcPr>
            <w:tcW w:w="479" w:type="pct"/>
            <w:vMerge w:val="restar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污染物产生指标</w:t>
            </w:r>
          </w:p>
        </w:tc>
        <w:tc>
          <w:tcPr>
            <w:tcW w:w="614" w:type="pct"/>
            <w:vMerge w:val="restar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950" w:type="pc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单位产品废水产生量</w:t>
            </w:r>
          </w:p>
        </w:tc>
        <w:tc>
          <w:tcPr>
            <w:tcW w:w="291" w:type="pc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606" w:type="pc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w:t>
            </w:r>
            <w:r w:rsidR="001D4D1B" w:rsidRPr="00E23FD8">
              <w:rPr>
                <w:rFonts w:ascii="Times New Roman" w:hAnsi="Times New Roman"/>
                <w:kern w:val="0"/>
                <w:sz w:val="18"/>
                <w:szCs w:val="18"/>
              </w:rPr>
              <w:t>4</w:t>
            </w:r>
          </w:p>
        </w:tc>
        <w:tc>
          <w:tcPr>
            <w:tcW w:w="532"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≤200</w:t>
            </w:r>
          </w:p>
        </w:tc>
        <w:tc>
          <w:tcPr>
            <w:tcW w:w="522"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≤240</w:t>
            </w:r>
          </w:p>
        </w:tc>
        <w:tc>
          <w:tcPr>
            <w:tcW w:w="770"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≤300</w:t>
            </w:r>
          </w:p>
        </w:tc>
      </w:tr>
      <w:tr w:rsidR="00B80E91" w:rsidRPr="00E23FD8" w:rsidTr="000274D0">
        <w:trPr>
          <w:jc w:val="center"/>
        </w:trPr>
        <w:tc>
          <w:tcPr>
            <w:tcW w:w="236" w:type="pct"/>
            <w:vAlign w:val="center"/>
          </w:tcPr>
          <w:p w:rsidR="00B80E91" w:rsidRPr="00E23FD8" w:rsidRDefault="00147D3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11</w:t>
            </w:r>
          </w:p>
        </w:tc>
        <w:tc>
          <w:tcPr>
            <w:tcW w:w="479" w:type="pct"/>
            <w:vMerge/>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B80E91" w:rsidRPr="00E23FD8" w:rsidRDefault="00E4206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w:t>
            </w:r>
            <w:r w:rsidR="00B80E91" w:rsidRPr="00E23FD8">
              <w:rPr>
                <w:rFonts w:ascii="Times New Roman" w:hAnsi="Times New Roman" w:cs="Times New Roman"/>
                <w:color w:val="auto"/>
                <w:sz w:val="18"/>
                <w:szCs w:val="18"/>
              </w:rPr>
              <w:t>固体废物产生量</w:t>
            </w:r>
          </w:p>
        </w:tc>
        <w:tc>
          <w:tcPr>
            <w:tcW w:w="291" w:type="pct"/>
            <w:vAlign w:val="center"/>
          </w:tcPr>
          <w:p w:rsidR="00B80E91" w:rsidRPr="00E23FD8" w:rsidRDefault="001E3127"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k</w:t>
            </w:r>
            <w:r w:rsidR="007811C2" w:rsidRPr="00E23FD8">
              <w:rPr>
                <w:rFonts w:ascii="Times New Roman" w:hAnsi="Times New Roman" w:cs="Times New Roman"/>
                <w:color w:val="auto"/>
                <w:sz w:val="18"/>
                <w:szCs w:val="18"/>
              </w:rPr>
              <w:t>g</w:t>
            </w:r>
            <w:r w:rsidR="00B80E91" w:rsidRPr="00E23FD8">
              <w:rPr>
                <w:rFonts w:ascii="Times New Roman" w:hAnsi="Times New Roman" w:cs="Times New Roman"/>
                <w:color w:val="auto"/>
                <w:sz w:val="18"/>
                <w:szCs w:val="18"/>
              </w:rPr>
              <w:t>/t</w:t>
            </w:r>
          </w:p>
        </w:tc>
        <w:tc>
          <w:tcPr>
            <w:tcW w:w="606" w:type="pct"/>
            <w:vAlign w:val="center"/>
          </w:tcPr>
          <w:p w:rsidR="00B80E91" w:rsidRPr="00E23FD8" w:rsidRDefault="00B80E9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w:t>
            </w:r>
            <w:r w:rsidR="001D4D1B" w:rsidRPr="00E23FD8">
              <w:rPr>
                <w:rFonts w:ascii="Times New Roman" w:hAnsi="Times New Roman"/>
                <w:kern w:val="0"/>
                <w:sz w:val="18"/>
                <w:szCs w:val="18"/>
              </w:rPr>
              <w:t>2</w:t>
            </w:r>
          </w:p>
        </w:tc>
        <w:tc>
          <w:tcPr>
            <w:tcW w:w="532"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≤30</w:t>
            </w:r>
          </w:p>
        </w:tc>
        <w:tc>
          <w:tcPr>
            <w:tcW w:w="522"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≤50</w:t>
            </w:r>
          </w:p>
        </w:tc>
        <w:tc>
          <w:tcPr>
            <w:tcW w:w="770" w:type="pct"/>
            <w:vAlign w:val="center"/>
          </w:tcPr>
          <w:p w:rsidR="00B80E91" w:rsidRPr="00E23FD8" w:rsidRDefault="00B80E9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≤70</w:t>
            </w:r>
          </w:p>
        </w:tc>
      </w:tr>
      <w:tr w:rsidR="009B18B1" w:rsidRPr="00E23FD8" w:rsidTr="000274D0">
        <w:trPr>
          <w:jc w:val="center"/>
        </w:trPr>
        <w:tc>
          <w:tcPr>
            <w:tcW w:w="236" w:type="pct"/>
            <w:vAlign w:val="center"/>
          </w:tcPr>
          <w:p w:rsidR="009B18B1" w:rsidRPr="00E23FD8" w:rsidRDefault="00147D3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12</w:t>
            </w:r>
          </w:p>
        </w:tc>
        <w:tc>
          <w:tcPr>
            <w:tcW w:w="479"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9B18B1" w:rsidRPr="00E23FD8" w:rsidRDefault="009B18B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单位产品挥发性有机物产生量</w:t>
            </w:r>
          </w:p>
        </w:tc>
        <w:tc>
          <w:tcPr>
            <w:tcW w:w="291" w:type="pct"/>
            <w:vAlign w:val="center"/>
          </w:tcPr>
          <w:p w:rsidR="009B18B1" w:rsidRPr="00E23FD8" w:rsidRDefault="007811C2"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kg</w:t>
            </w:r>
            <w:r w:rsidR="009B18B1" w:rsidRPr="00E23FD8">
              <w:rPr>
                <w:rFonts w:ascii="Times New Roman" w:hAnsi="Times New Roman" w:cs="Times New Roman"/>
                <w:color w:val="auto"/>
                <w:sz w:val="18"/>
                <w:szCs w:val="18"/>
              </w:rPr>
              <w:t>/t</w:t>
            </w:r>
          </w:p>
        </w:tc>
        <w:tc>
          <w:tcPr>
            <w:tcW w:w="60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w:t>
            </w:r>
            <w:r w:rsidR="00147D37" w:rsidRPr="00E23FD8">
              <w:rPr>
                <w:rFonts w:ascii="Times New Roman" w:hAnsi="Times New Roman"/>
                <w:kern w:val="0"/>
                <w:sz w:val="18"/>
                <w:szCs w:val="18"/>
              </w:rPr>
              <w:t>1</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≤20</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≤30</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≤40</w:t>
            </w:r>
          </w:p>
        </w:tc>
      </w:tr>
      <w:tr w:rsidR="009B18B1" w:rsidRPr="00E23FD8" w:rsidTr="000274D0">
        <w:trPr>
          <w:jc w:val="center"/>
        </w:trPr>
        <w:tc>
          <w:tcPr>
            <w:tcW w:w="23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13</w:t>
            </w:r>
          </w:p>
        </w:tc>
        <w:tc>
          <w:tcPr>
            <w:tcW w:w="479"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9B18B1" w:rsidRPr="00E23FD8" w:rsidRDefault="009B18B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w:t>
            </w:r>
            <w:r w:rsidRPr="00E23FD8">
              <w:rPr>
                <w:rFonts w:ascii="Times New Roman" w:hAnsi="Times New Roman" w:cs="Times New Roman"/>
                <w:color w:val="auto"/>
                <w:sz w:val="18"/>
                <w:szCs w:val="18"/>
              </w:rPr>
              <w:t>COD</w:t>
            </w:r>
            <w:r w:rsidRPr="00E23FD8">
              <w:rPr>
                <w:rFonts w:ascii="Times New Roman" w:hAnsi="Times New Roman" w:cs="Times New Roman"/>
                <w:color w:val="auto"/>
                <w:sz w:val="18"/>
                <w:szCs w:val="18"/>
              </w:rPr>
              <w:t>产生量</w:t>
            </w:r>
          </w:p>
        </w:tc>
        <w:tc>
          <w:tcPr>
            <w:tcW w:w="291" w:type="pct"/>
            <w:vAlign w:val="center"/>
          </w:tcPr>
          <w:p w:rsidR="009B18B1" w:rsidRPr="00E23FD8" w:rsidRDefault="007811C2"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kg</w:t>
            </w:r>
            <w:r w:rsidR="009B18B1" w:rsidRPr="00E23FD8">
              <w:rPr>
                <w:rFonts w:ascii="Times New Roman" w:hAnsi="Times New Roman" w:cs="Times New Roman"/>
                <w:sz w:val="18"/>
                <w:szCs w:val="18"/>
              </w:rPr>
              <w:t>/t</w:t>
            </w:r>
          </w:p>
        </w:tc>
        <w:tc>
          <w:tcPr>
            <w:tcW w:w="606" w:type="pct"/>
            <w:vAlign w:val="center"/>
          </w:tcPr>
          <w:p w:rsidR="009B18B1" w:rsidRPr="00E23FD8" w:rsidRDefault="00147D3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≤200</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≤300</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≤400</w:t>
            </w:r>
          </w:p>
        </w:tc>
      </w:tr>
      <w:tr w:rsidR="009B18B1" w:rsidRPr="00E23FD8" w:rsidTr="000274D0">
        <w:trPr>
          <w:jc w:val="center"/>
        </w:trPr>
        <w:tc>
          <w:tcPr>
            <w:tcW w:w="23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14</w:t>
            </w:r>
          </w:p>
        </w:tc>
        <w:tc>
          <w:tcPr>
            <w:tcW w:w="479"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9B18B1" w:rsidRPr="00E23FD8" w:rsidRDefault="009B18B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单位产品氨氮产生量</w:t>
            </w:r>
          </w:p>
        </w:tc>
        <w:tc>
          <w:tcPr>
            <w:tcW w:w="291" w:type="pct"/>
            <w:vAlign w:val="center"/>
          </w:tcPr>
          <w:p w:rsidR="009B18B1" w:rsidRPr="00E23FD8" w:rsidRDefault="007811C2"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kg</w:t>
            </w:r>
            <w:r w:rsidR="009B18B1" w:rsidRPr="00E23FD8">
              <w:rPr>
                <w:rFonts w:ascii="Times New Roman" w:hAnsi="Times New Roman" w:cs="Times New Roman"/>
                <w:sz w:val="18"/>
                <w:szCs w:val="18"/>
              </w:rPr>
              <w:t>/t</w:t>
            </w:r>
          </w:p>
        </w:tc>
        <w:tc>
          <w:tcPr>
            <w:tcW w:w="60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w:t>
            </w:r>
            <w:r w:rsidR="00147D37" w:rsidRPr="00E23FD8">
              <w:rPr>
                <w:rFonts w:ascii="Times New Roman" w:hAnsi="Times New Roman"/>
                <w:kern w:val="0"/>
                <w:sz w:val="18"/>
                <w:szCs w:val="18"/>
              </w:rPr>
              <w:t>1</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≤130</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≤180</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≤270</w:t>
            </w:r>
          </w:p>
        </w:tc>
      </w:tr>
      <w:tr w:rsidR="009B18B1" w:rsidRPr="00E23FD8" w:rsidTr="000274D0">
        <w:trPr>
          <w:jc w:val="center"/>
        </w:trPr>
        <w:tc>
          <w:tcPr>
            <w:tcW w:w="23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15</w:t>
            </w:r>
          </w:p>
        </w:tc>
        <w:tc>
          <w:tcPr>
            <w:tcW w:w="479" w:type="pct"/>
            <w:vMerge w:val="restar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产品特征指标</w:t>
            </w:r>
          </w:p>
        </w:tc>
        <w:tc>
          <w:tcPr>
            <w:tcW w:w="614" w:type="pct"/>
            <w:vMerge w:val="restar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0.10</w:t>
            </w:r>
          </w:p>
        </w:tc>
        <w:tc>
          <w:tcPr>
            <w:tcW w:w="950"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有毒有害物质限量</w:t>
            </w:r>
          </w:p>
        </w:tc>
        <w:tc>
          <w:tcPr>
            <w:tcW w:w="291"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w:t>
            </w:r>
          </w:p>
        </w:tc>
        <w:tc>
          <w:tcPr>
            <w:tcW w:w="60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≤0.1</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≤0.5</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w:t>
            </w:r>
          </w:p>
        </w:tc>
      </w:tr>
      <w:tr w:rsidR="009B18B1" w:rsidRPr="00E23FD8" w:rsidTr="000274D0">
        <w:trPr>
          <w:jc w:val="center"/>
        </w:trPr>
        <w:tc>
          <w:tcPr>
            <w:tcW w:w="23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16</w:t>
            </w:r>
          </w:p>
        </w:tc>
        <w:tc>
          <w:tcPr>
            <w:tcW w:w="479"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合成反应步数</w:t>
            </w:r>
          </w:p>
        </w:tc>
        <w:tc>
          <w:tcPr>
            <w:tcW w:w="291" w:type="pct"/>
            <w:vAlign w:val="center"/>
          </w:tcPr>
          <w:p w:rsidR="009B18B1" w:rsidRPr="00E23FD8" w:rsidRDefault="009B18B1"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步</w:t>
            </w:r>
          </w:p>
        </w:tc>
        <w:tc>
          <w:tcPr>
            <w:tcW w:w="60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w:t>
            </w:r>
          </w:p>
        </w:tc>
      </w:tr>
      <w:tr w:rsidR="009B18B1" w:rsidRPr="00E23FD8" w:rsidTr="000274D0">
        <w:trPr>
          <w:jc w:val="center"/>
        </w:trPr>
        <w:tc>
          <w:tcPr>
            <w:tcW w:w="23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17</w:t>
            </w:r>
          </w:p>
        </w:tc>
        <w:tc>
          <w:tcPr>
            <w:tcW w:w="479"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p>
        </w:tc>
        <w:tc>
          <w:tcPr>
            <w:tcW w:w="950" w:type="pct"/>
            <w:vAlign w:val="center"/>
          </w:tcPr>
          <w:p w:rsidR="009B18B1" w:rsidRPr="00E23FD8" w:rsidRDefault="009B18B1" w:rsidP="000274D0">
            <w:pPr>
              <w:adjustRightInd w:val="0"/>
              <w:snapToGrid w:val="0"/>
              <w:spacing w:line="300" w:lineRule="auto"/>
              <w:jc w:val="center"/>
              <w:rPr>
                <w:rFonts w:ascii="Times New Roman" w:hAnsi="Times New Roman"/>
                <w:color w:val="FF0000"/>
                <w:sz w:val="18"/>
                <w:szCs w:val="18"/>
              </w:rPr>
            </w:pPr>
            <w:r w:rsidRPr="00E23FD8">
              <w:rPr>
                <w:rFonts w:ascii="Times New Roman" w:hAnsi="Times New Roman"/>
                <w:sz w:val="18"/>
                <w:szCs w:val="18"/>
              </w:rPr>
              <w:t>精制收率</w:t>
            </w:r>
          </w:p>
        </w:tc>
        <w:tc>
          <w:tcPr>
            <w:tcW w:w="291"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606" w:type="pct"/>
            <w:vAlign w:val="center"/>
          </w:tcPr>
          <w:p w:rsidR="009B18B1" w:rsidRPr="00E23FD8" w:rsidRDefault="009B18B1"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53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≥85</w:t>
            </w:r>
          </w:p>
        </w:tc>
        <w:tc>
          <w:tcPr>
            <w:tcW w:w="522"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≥80</w:t>
            </w:r>
          </w:p>
        </w:tc>
        <w:tc>
          <w:tcPr>
            <w:tcW w:w="770" w:type="pct"/>
            <w:vAlign w:val="center"/>
          </w:tcPr>
          <w:p w:rsidR="009B18B1" w:rsidRPr="00E23FD8" w:rsidRDefault="009B18B1"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≥75</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18</w:t>
            </w:r>
          </w:p>
        </w:tc>
        <w:tc>
          <w:tcPr>
            <w:tcW w:w="479"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清洁生产管理指标</w:t>
            </w:r>
          </w:p>
        </w:tc>
        <w:tc>
          <w:tcPr>
            <w:tcW w:w="614"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环境法律法规标准</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生产工艺和装备符合产业政策要求，污染物排放达到排放标准、符合总量控制和排污许可证管理要求，严格执行建设项目环境影响评价制度和建设项目环保</w:t>
            </w:r>
            <w:r w:rsidRPr="00E23FD8">
              <w:rPr>
                <w:rFonts w:ascii="Times New Roman" w:hAnsi="Times New Roman"/>
                <w:kern w:val="0"/>
                <w:sz w:val="18"/>
                <w:szCs w:val="18"/>
              </w:rPr>
              <w:t>“</w:t>
            </w:r>
            <w:r w:rsidRPr="00E23FD8">
              <w:rPr>
                <w:rFonts w:ascii="Times New Roman" w:hAnsi="Times New Roman"/>
                <w:kern w:val="0"/>
                <w:sz w:val="18"/>
                <w:szCs w:val="18"/>
              </w:rPr>
              <w:t>三同时</w:t>
            </w:r>
            <w:r w:rsidRPr="00E23FD8">
              <w:rPr>
                <w:rFonts w:ascii="Times New Roman" w:hAnsi="Times New Roman"/>
                <w:kern w:val="0"/>
                <w:sz w:val="18"/>
                <w:szCs w:val="18"/>
              </w:rPr>
              <w:t>”</w:t>
            </w:r>
            <w:r w:rsidRPr="00E23FD8">
              <w:rPr>
                <w:rFonts w:ascii="Times New Roman" w:hAnsi="Times New Roman"/>
                <w:kern w:val="0"/>
                <w:sz w:val="18"/>
                <w:szCs w:val="18"/>
              </w:rPr>
              <w:t>制度</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lastRenderedPageBreak/>
              <w:t>19</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废物处理处置</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根据固体废物性质鉴别的结果，一般工业固体废物按照</w:t>
            </w:r>
            <w:r w:rsidRPr="00E23FD8">
              <w:rPr>
                <w:rFonts w:ascii="Times New Roman" w:hAnsi="Times New Roman"/>
                <w:kern w:val="0"/>
                <w:sz w:val="18"/>
                <w:szCs w:val="18"/>
              </w:rPr>
              <w:t>GB18599</w:t>
            </w:r>
            <w:r w:rsidRPr="00E23FD8">
              <w:rPr>
                <w:rFonts w:ascii="Times New Roman" w:hAnsi="Times New Roman"/>
                <w:kern w:val="0"/>
                <w:sz w:val="18"/>
                <w:szCs w:val="18"/>
              </w:rPr>
              <w:t>的要求进行处置，危险废物按照</w:t>
            </w:r>
            <w:r w:rsidRPr="00E23FD8">
              <w:rPr>
                <w:rFonts w:ascii="Times New Roman" w:hAnsi="Times New Roman"/>
                <w:kern w:val="0"/>
                <w:sz w:val="18"/>
                <w:szCs w:val="18"/>
              </w:rPr>
              <w:t>GB18597</w:t>
            </w:r>
            <w:r w:rsidRPr="00E23FD8">
              <w:rPr>
                <w:rFonts w:ascii="Times New Roman" w:hAnsi="Times New Roman"/>
                <w:kern w:val="0"/>
                <w:sz w:val="18"/>
                <w:szCs w:val="18"/>
              </w:rPr>
              <w:t>，</w:t>
            </w:r>
            <w:r w:rsidRPr="00E23FD8">
              <w:rPr>
                <w:rFonts w:ascii="Times New Roman" w:hAnsi="Times New Roman"/>
                <w:kern w:val="0"/>
                <w:sz w:val="18"/>
                <w:szCs w:val="18"/>
              </w:rPr>
              <w:t>GB18598</w:t>
            </w:r>
            <w:r w:rsidRPr="00E23FD8">
              <w:rPr>
                <w:rFonts w:ascii="Times New Roman" w:hAnsi="Times New Roman"/>
                <w:kern w:val="0"/>
                <w:sz w:val="18"/>
                <w:szCs w:val="18"/>
              </w:rPr>
              <w:t>等的要求进行处置</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20</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组织机构</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建立健全专门环保管理机构，配备专职管理人员，开展环境保护和清洁生产有关工作</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21</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相关认证</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通过</w:t>
            </w:r>
            <w:r w:rsidRPr="00E23FD8">
              <w:rPr>
                <w:rFonts w:ascii="Times New Roman" w:hAnsi="Times New Roman"/>
                <w:sz w:val="18"/>
                <w:szCs w:val="18"/>
              </w:rPr>
              <w:t>ISO 9000</w:t>
            </w:r>
            <w:r w:rsidRPr="00E23FD8">
              <w:rPr>
                <w:rFonts w:ascii="Times New Roman" w:hAnsi="Times New Roman"/>
                <w:sz w:val="18"/>
                <w:szCs w:val="18"/>
              </w:rPr>
              <w:t>质量管理体系认证，通过现行版</w:t>
            </w:r>
            <w:r w:rsidRPr="00E23FD8">
              <w:rPr>
                <w:rFonts w:ascii="Times New Roman" w:hAnsi="Times New Roman"/>
                <w:sz w:val="18"/>
                <w:szCs w:val="18"/>
              </w:rPr>
              <w:t>GMP</w:t>
            </w:r>
            <w:r w:rsidRPr="00E23FD8">
              <w:rPr>
                <w:rFonts w:ascii="Times New Roman" w:hAnsi="Times New Roman"/>
                <w:sz w:val="18"/>
                <w:szCs w:val="18"/>
              </w:rPr>
              <w:t>认证，通过</w:t>
            </w:r>
            <w:r w:rsidRPr="00E23FD8">
              <w:rPr>
                <w:rFonts w:ascii="Times New Roman" w:hAnsi="Times New Roman"/>
                <w:sz w:val="18"/>
                <w:szCs w:val="18"/>
              </w:rPr>
              <w:t>ISO 14000</w:t>
            </w:r>
            <w:r w:rsidRPr="00E23FD8">
              <w:rPr>
                <w:rFonts w:ascii="Times New Roman" w:hAnsi="Times New Roman"/>
                <w:sz w:val="18"/>
                <w:szCs w:val="18"/>
              </w:rPr>
              <w:t>环境管理体系认证</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22</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清洁生产审核</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按照</w:t>
            </w:r>
            <w:r w:rsidRPr="00E23FD8">
              <w:rPr>
                <w:rFonts w:ascii="Times New Roman" w:hAnsi="Times New Roman"/>
                <w:kern w:val="0"/>
                <w:sz w:val="18"/>
                <w:szCs w:val="18"/>
              </w:rPr>
              <w:t>GB/T24001</w:t>
            </w:r>
            <w:r w:rsidRPr="00E23FD8">
              <w:rPr>
                <w:rFonts w:ascii="Times New Roman" w:hAnsi="Times New Roman"/>
                <w:kern w:val="0"/>
                <w:sz w:val="18"/>
                <w:szCs w:val="18"/>
              </w:rPr>
              <w:t>建立并有效运行环境管理体系，环境管理手册、程序文件及作业文件齐备，定期完成新一轮清洁生产审核，审核方案全部实施，并通过验收</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23</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环保设施运行管理</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环保设施正常运行，无跑、冒、滴、漏现象，设立环保标识，环保设施运行台账齐全</w:t>
            </w:r>
          </w:p>
        </w:tc>
      </w:tr>
      <w:tr w:rsidR="007811C2" w:rsidRPr="00E23FD8" w:rsidTr="000274D0">
        <w:trPr>
          <w:jc w:val="center"/>
        </w:trPr>
        <w:tc>
          <w:tcPr>
            <w:tcW w:w="23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24</w:t>
            </w:r>
          </w:p>
        </w:tc>
        <w:tc>
          <w:tcPr>
            <w:tcW w:w="479"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61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241"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环境应急</w:t>
            </w:r>
          </w:p>
        </w:tc>
        <w:tc>
          <w:tcPr>
            <w:tcW w:w="606" w:type="pc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1824"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编制环境风险应急预案，并进行备案，定期开展环境风险应急演练，可及时应对重大环境污染事故发生</w:t>
            </w:r>
          </w:p>
        </w:tc>
      </w:tr>
    </w:tbl>
    <w:p w:rsidR="00371FFD" w:rsidRPr="00E23FD8" w:rsidRDefault="00371FFD" w:rsidP="000274D0">
      <w:pPr>
        <w:autoSpaceDE w:val="0"/>
        <w:autoSpaceDN w:val="0"/>
        <w:adjustRightInd w:val="0"/>
        <w:snapToGrid w:val="0"/>
        <w:spacing w:line="300" w:lineRule="auto"/>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注：带</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的指标为限定性指标</w:t>
      </w:r>
    </w:p>
    <w:p w:rsidR="00371FFD" w:rsidRPr="00E23FD8" w:rsidRDefault="00371FFD" w:rsidP="000274D0">
      <w:pPr>
        <w:adjustRightInd w:val="0"/>
        <w:snapToGrid w:val="0"/>
        <w:spacing w:line="300" w:lineRule="auto"/>
        <w:rPr>
          <w:rFonts w:ascii="Times New Roman" w:hAnsi="Times New Roman"/>
        </w:rPr>
        <w:sectPr w:rsidR="00371FFD" w:rsidRPr="00E23FD8" w:rsidSect="003E7DBF">
          <w:pgSz w:w="16838" w:h="11906" w:orient="landscape"/>
          <w:pgMar w:top="1418" w:right="1418" w:bottom="1418" w:left="1418" w:header="851" w:footer="1247" w:gutter="0"/>
          <w:cols w:space="425"/>
          <w:docGrid w:linePitch="312"/>
        </w:sectPr>
      </w:pPr>
    </w:p>
    <w:bookmarkEnd w:id="16"/>
    <w:p w:rsidR="00A84DEE" w:rsidRPr="00E23FD8" w:rsidRDefault="00A84DEE" w:rsidP="000274D0">
      <w:pPr>
        <w:adjustRightInd w:val="0"/>
        <w:snapToGrid w:val="0"/>
        <w:spacing w:line="300" w:lineRule="auto"/>
        <w:jc w:val="center"/>
        <w:rPr>
          <w:rFonts w:ascii="Times New Roman" w:eastAsia="黑体" w:hAnsi="Times New Roman"/>
          <w:szCs w:val="21"/>
        </w:rPr>
      </w:pPr>
      <w:r w:rsidRPr="00E23FD8">
        <w:rPr>
          <w:rFonts w:ascii="Times New Roman" w:eastAsia="黑体" w:hAnsi="Times New Roman"/>
          <w:szCs w:val="21"/>
        </w:rPr>
        <w:lastRenderedPageBreak/>
        <w:t>表</w:t>
      </w:r>
      <w:r w:rsidR="00D9094C" w:rsidRPr="00E23FD8">
        <w:rPr>
          <w:rFonts w:ascii="Times New Roman" w:eastAsia="黑体" w:hAnsi="Times New Roman"/>
          <w:szCs w:val="21"/>
        </w:rPr>
        <w:t>2</w:t>
      </w:r>
      <w:r w:rsidRPr="00E23FD8">
        <w:rPr>
          <w:rFonts w:ascii="Times New Roman" w:eastAsia="黑体" w:hAnsi="Times New Roman"/>
          <w:szCs w:val="21"/>
        </w:rPr>
        <w:t>动、植物提取法原料药清洁生产定量评价指标项目、权重及基准值</w:t>
      </w:r>
    </w:p>
    <w:tbl>
      <w:tblPr>
        <w:tblW w:w="5000" w:type="pct"/>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4A0"/>
      </w:tblPr>
      <w:tblGrid>
        <w:gridCol w:w="711"/>
        <w:gridCol w:w="1348"/>
        <w:gridCol w:w="1681"/>
        <w:gridCol w:w="2653"/>
        <w:gridCol w:w="853"/>
        <w:gridCol w:w="1706"/>
        <w:gridCol w:w="1456"/>
        <w:gridCol w:w="1473"/>
        <w:gridCol w:w="2337"/>
      </w:tblGrid>
      <w:tr w:rsidR="00371FFD" w:rsidRPr="00E23FD8" w:rsidTr="000274D0">
        <w:trPr>
          <w:tblHeader/>
          <w:jc w:val="center"/>
        </w:trPr>
        <w:tc>
          <w:tcPr>
            <w:tcW w:w="250"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bookmarkStart w:id="20" w:name="_Toc368639120"/>
            <w:r w:rsidRPr="000274D0">
              <w:rPr>
                <w:rFonts w:ascii="黑体" w:eastAsia="黑体" w:hAnsi="黑体"/>
                <w:kern w:val="0"/>
                <w:sz w:val="18"/>
                <w:szCs w:val="18"/>
              </w:rPr>
              <w:t>序号</w:t>
            </w:r>
          </w:p>
        </w:tc>
        <w:tc>
          <w:tcPr>
            <w:tcW w:w="474"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w:t>
            </w:r>
          </w:p>
        </w:tc>
        <w:tc>
          <w:tcPr>
            <w:tcW w:w="591"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一级指标权重</w:t>
            </w:r>
          </w:p>
        </w:tc>
        <w:tc>
          <w:tcPr>
            <w:tcW w:w="933"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w:t>
            </w:r>
          </w:p>
        </w:tc>
        <w:tc>
          <w:tcPr>
            <w:tcW w:w="300"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单位</w:t>
            </w:r>
          </w:p>
        </w:tc>
        <w:tc>
          <w:tcPr>
            <w:tcW w:w="600"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二级指标权重</w:t>
            </w:r>
          </w:p>
        </w:tc>
        <w:tc>
          <w:tcPr>
            <w:tcW w:w="512"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Ⅰ</w:t>
            </w:r>
            <w:r w:rsidRPr="000274D0">
              <w:rPr>
                <w:rFonts w:ascii="黑体" w:eastAsia="黑体" w:hAnsi="黑体"/>
                <w:kern w:val="0"/>
                <w:sz w:val="18"/>
                <w:szCs w:val="18"/>
              </w:rPr>
              <w:t>级基准值</w:t>
            </w:r>
          </w:p>
        </w:tc>
        <w:tc>
          <w:tcPr>
            <w:tcW w:w="518"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Ⅱ</w:t>
            </w:r>
            <w:r w:rsidRPr="000274D0">
              <w:rPr>
                <w:rFonts w:ascii="黑体" w:eastAsia="黑体" w:hAnsi="黑体"/>
                <w:kern w:val="0"/>
                <w:sz w:val="18"/>
                <w:szCs w:val="18"/>
              </w:rPr>
              <w:t>级基准值</w:t>
            </w:r>
          </w:p>
        </w:tc>
        <w:tc>
          <w:tcPr>
            <w:tcW w:w="822" w:type="pct"/>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Ⅲ</w:t>
            </w:r>
            <w:r w:rsidRPr="000274D0">
              <w:rPr>
                <w:rFonts w:ascii="黑体" w:eastAsia="黑体" w:hAnsi="黑体"/>
                <w:kern w:val="0"/>
                <w:sz w:val="18"/>
                <w:szCs w:val="18"/>
              </w:rPr>
              <w:t>级基准值</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w:t>
            </w:r>
          </w:p>
        </w:tc>
        <w:tc>
          <w:tcPr>
            <w:tcW w:w="474"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生产工艺及装备指标</w:t>
            </w:r>
          </w:p>
        </w:tc>
        <w:tc>
          <w:tcPr>
            <w:tcW w:w="591"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0.15</w:t>
            </w: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工艺类型</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0.6</w:t>
            </w:r>
          </w:p>
        </w:tc>
        <w:tc>
          <w:tcPr>
            <w:tcW w:w="1030"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采用动态提取、</w:t>
            </w:r>
            <w:r w:rsidRPr="00E23FD8">
              <w:rPr>
                <w:rFonts w:ascii="Times New Roman" w:eastAsiaTheme="minorEastAsia" w:hAnsi="Times New Roman"/>
                <w:sz w:val="18"/>
                <w:szCs w:val="18"/>
              </w:rPr>
              <w:t>超临界萃取和离子交换、大孔树脂纯化技术，不使用一类溶剂，二类溶剂使用量不超过使用溶剂总量的</w:t>
            </w:r>
            <w:r w:rsidRPr="00E23FD8">
              <w:rPr>
                <w:rFonts w:ascii="Times New Roman" w:eastAsiaTheme="minorEastAsia" w:hAnsi="Times New Roman"/>
                <w:sz w:val="18"/>
                <w:szCs w:val="18"/>
              </w:rPr>
              <w:t>10%</w:t>
            </w:r>
          </w:p>
        </w:tc>
        <w:tc>
          <w:tcPr>
            <w:tcW w:w="822"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常规静态提取和</w:t>
            </w:r>
            <w:r w:rsidRPr="00E23FD8">
              <w:rPr>
                <w:rFonts w:ascii="Times New Roman" w:eastAsiaTheme="minorEastAsia" w:hAnsi="Times New Roman"/>
                <w:sz w:val="18"/>
                <w:szCs w:val="18"/>
              </w:rPr>
              <w:t>离子交换、大孔树脂纯化技术，不使用一类溶剂，二类溶剂使用量不超过使用溶剂总量的</w:t>
            </w:r>
            <w:r w:rsidRPr="00E23FD8">
              <w:rPr>
                <w:rFonts w:ascii="Times New Roman" w:eastAsiaTheme="minorEastAsia" w:hAnsi="Times New Roman"/>
                <w:sz w:val="18"/>
                <w:szCs w:val="18"/>
              </w:rPr>
              <w:t>20%</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2</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装备设备</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0.4</w:t>
            </w:r>
          </w:p>
        </w:tc>
        <w:tc>
          <w:tcPr>
            <w:tcW w:w="1030"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使用膜分离或多效浓缩，自动控制系统和生产监控系统，封闭式离心机、过滤机、载气循环干燥器、浮顶式溶剂储存回收等设备</w:t>
            </w:r>
          </w:p>
        </w:tc>
        <w:tc>
          <w:tcPr>
            <w:tcW w:w="822"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sz w:val="18"/>
                <w:szCs w:val="18"/>
              </w:rPr>
              <w:t>使用膜分离或多效浓缩，封闭式离心机、过滤机、载气循环干燥器、浮顶式溶剂储罐等</w:t>
            </w:r>
          </w:p>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3</w:t>
            </w:r>
          </w:p>
        </w:tc>
        <w:tc>
          <w:tcPr>
            <w:tcW w:w="474"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资源能源消耗指标</w:t>
            </w:r>
          </w:p>
        </w:tc>
        <w:tc>
          <w:tcPr>
            <w:tcW w:w="591"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0.15</w:t>
            </w:r>
          </w:p>
        </w:tc>
        <w:tc>
          <w:tcPr>
            <w:tcW w:w="933"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单位产品综合能耗</w:t>
            </w:r>
          </w:p>
        </w:tc>
        <w:tc>
          <w:tcPr>
            <w:tcW w:w="3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Tec/t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≤1.5</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≤3</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≤5</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4</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单位原料取水量</w:t>
            </w:r>
          </w:p>
        </w:tc>
        <w:tc>
          <w:tcPr>
            <w:tcW w:w="3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t/t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0.4</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≤20</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≤25</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≤30</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5</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单位产品原辅料总消耗</w:t>
            </w:r>
          </w:p>
        </w:tc>
        <w:tc>
          <w:tcPr>
            <w:tcW w:w="3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t/t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≤8</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≤12</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6</w:t>
            </w:r>
          </w:p>
        </w:tc>
        <w:tc>
          <w:tcPr>
            <w:tcW w:w="474"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资源综合利用指标</w:t>
            </w:r>
          </w:p>
        </w:tc>
        <w:tc>
          <w:tcPr>
            <w:tcW w:w="591"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0.20</w:t>
            </w:r>
          </w:p>
        </w:tc>
        <w:tc>
          <w:tcPr>
            <w:tcW w:w="933"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提取溶剂回收利用率</w:t>
            </w:r>
          </w:p>
        </w:tc>
        <w:tc>
          <w:tcPr>
            <w:tcW w:w="300"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sz w:val="18"/>
                <w:szCs w:val="18"/>
              </w:rPr>
            </w:pPr>
            <w:r w:rsidRPr="00E23FD8">
              <w:rPr>
                <w:rFonts w:ascii="Times New Roman" w:eastAsiaTheme="minorEastAsia" w:hAnsi="Times New Roman" w:cs="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512"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≥85</w:t>
            </w:r>
          </w:p>
        </w:tc>
        <w:tc>
          <w:tcPr>
            <w:tcW w:w="518"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≥80</w:t>
            </w:r>
          </w:p>
        </w:tc>
        <w:tc>
          <w:tcPr>
            <w:tcW w:w="822"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≥70</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7</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固体药渣综合利用率</w:t>
            </w:r>
          </w:p>
        </w:tc>
        <w:tc>
          <w:tcPr>
            <w:tcW w:w="300"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0.4</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≥95</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≥90</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≥85</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8</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水重复利用率</w:t>
            </w:r>
          </w:p>
        </w:tc>
        <w:tc>
          <w:tcPr>
            <w:tcW w:w="300"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≥95</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≥90</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≥80</w:t>
            </w:r>
          </w:p>
        </w:tc>
      </w:tr>
      <w:tr w:rsidR="00F81EE3" w:rsidRPr="00E23FD8" w:rsidTr="000274D0">
        <w:trPr>
          <w:jc w:val="center"/>
        </w:trPr>
        <w:tc>
          <w:tcPr>
            <w:tcW w:w="25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9</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产品包装可再生或降解率</w:t>
            </w:r>
          </w:p>
        </w:tc>
        <w:tc>
          <w:tcPr>
            <w:tcW w:w="300"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100</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100</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100</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10</w:t>
            </w:r>
          </w:p>
        </w:tc>
        <w:tc>
          <w:tcPr>
            <w:tcW w:w="474"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污染物产生指标</w:t>
            </w:r>
          </w:p>
        </w:tc>
        <w:tc>
          <w:tcPr>
            <w:tcW w:w="591"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0.20</w:t>
            </w:r>
          </w:p>
        </w:tc>
        <w:tc>
          <w:tcPr>
            <w:tcW w:w="933"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单位产品废水产生量</w:t>
            </w:r>
          </w:p>
        </w:tc>
        <w:tc>
          <w:tcPr>
            <w:tcW w:w="3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t/t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≤25</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≤35</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≤45</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11</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单位产品固体废物产生量</w:t>
            </w:r>
            <w:r w:rsidRPr="00E23FD8">
              <w:rPr>
                <w:rFonts w:ascii="Times New Roman" w:eastAsiaTheme="minorEastAsia" w:hAnsi="Times New Roman" w:cs="Times New Roman"/>
                <w:color w:val="auto"/>
                <w:sz w:val="18"/>
                <w:szCs w:val="18"/>
              </w:rPr>
              <w:t>(</w:t>
            </w:r>
            <w:r w:rsidRPr="00E23FD8">
              <w:rPr>
                <w:rFonts w:ascii="Times New Roman" w:eastAsiaTheme="minorEastAsia" w:hAnsi="Times New Roman" w:cs="Times New Roman"/>
                <w:color w:val="auto"/>
                <w:sz w:val="18"/>
                <w:szCs w:val="18"/>
              </w:rPr>
              <w:t>湿重</w:t>
            </w:r>
            <w:r w:rsidRPr="00E23FD8">
              <w:rPr>
                <w:rFonts w:ascii="Times New Roman" w:eastAsiaTheme="minorEastAsia" w:hAnsi="Times New Roman" w:cs="Times New Roman"/>
                <w:color w:val="auto"/>
                <w:sz w:val="18"/>
                <w:szCs w:val="18"/>
              </w:rPr>
              <w:t>)</w:t>
            </w:r>
          </w:p>
        </w:tc>
        <w:tc>
          <w:tcPr>
            <w:tcW w:w="300"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sz w:val="18"/>
                <w:szCs w:val="18"/>
              </w:rPr>
            </w:pPr>
            <w:r w:rsidRPr="00E23FD8">
              <w:rPr>
                <w:rFonts w:ascii="Times New Roman" w:eastAsiaTheme="minorEastAsia" w:hAnsi="Times New Roman" w:cs="Times New Roman"/>
                <w:sz w:val="18"/>
                <w:szCs w:val="18"/>
              </w:rPr>
              <w:t>t/t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≤2.5</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≤4</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12</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单位产品</w:t>
            </w:r>
            <w:r w:rsidRPr="00E23FD8">
              <w:rPr>
                <w:rFonts w:ascii="Times New Roman" w:eastAsiaTheme="minorEastAsia" w:hAnsi="Times New Roman" w:cs="Times New Roman"/>
                <w:color w:val="auto"/>
                <w:sz w:val="18"/>
                <w:szCs w:val="18"/>
              </w:rPr>
              <w:t>COD</w:t>
            </w:r>
            <w:r w:rsidRPr="00E23FD8">
              <w:rPr>
                <w:rFonts w:ascii="Times New Roman" w:eastAsiaTheme="minorEastAsia" w:hAnsi="Times New Roman" w:cs="Times New Roman"/>
                <w:color w:val="auto"/>
                <w:sz w:val="18"/>
                <w:szCs w:val="18"/>
              </w:rPr>
              <w:t>产生量</w:t>
            </w:r>
          </w:p>
        </w:tc>
        <w:tc>
          <w:tcPr>
            <w:tcW w:w="300" w:type="pct"/>
            <w:vAlign w:val="center"/>
          </w:tcPr>
          <w:p w:rsidR="00F81EE3" w:rsidRPr="00E23FD8" w:rsidRDefault="007811C2" w:rsidP="000274D0">
            <w:pPr>
              <w:pStyle w:val="Default"/>
              <w:snapToGrid w:val="0"/>
              <w:spacing w:line="300" w:lineRule="auto"/>
              <w:jc w:val="center"/>
              <w:rPr>
                <w:rFonts w:ascii="Times New Roman" w:eastAsiaTheme="minorEastAsia" w:hAnsi="Times New Roman" w:cs="Times New Roman"/>
                <w:sz w:val="18"/>
                <w:szCs w:val="18"/>
              </w:rPr>
            </w:pPr>
            <w:r w:rsidRPr="00E23FD8">
              <w:rPr>
                <w:rFonts w:ascii="Times New Roman" w:eastAsiaTheme="minorEastAsia" w:hAnsi="Times New Roman" w:cs="Times New Roman"/>
                <w:sz w:val="18"/>
                <w:szCs w:val="18"/>
              </w:rPr>
              <w:t>k</w:t>
            </w:r>
            <w:r w:rsidR="00F81EE3" w:rsidRPr="00E23FD8">
              <w:rPr>
                <w:rFonts w:ascii="Times New Roman" w:eastAsiaTheme="minorEastAsia" w:hAnsi="Times New Roman" w:cs="Times New Roman"/>
                <w:sz w:val="18"/>
                <w:szCs w:val="18"/>
              </w:rPr>
              <w:t>g/t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≤30</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≤60</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≤100</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13</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单位产品氨氮产生量</w:t>
            </w:r>
          </w:p>
        </w:tc>
        <w:tc>
          <w:tcPr>
            <w:tcW w:w="300"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sz w:val="18"/>
                <w:szCs w:val="18"/>
              </w:rPr>
            </w:pPr>
            <w:r w:rsidRPr="00E23FD8">
              <w:rPr>
                <w:rFonts w:ascii="Times New Roman" w:eastAsiaTheme="minorEastAsia" w:hAnsi="Times New Roman" w:cs="Times New Roman"/>
                <w:sz w:val="18"/>
                <w:szCs w:val="18"/>
              </w:rPr>
              <w:t>Kg/t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≤2</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≤4</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14</w:t>
            </w:r>
          </w:p>
        </w:tc>
        <w:tc>
          <w:tcPr>
            <w:tcW w:w="474"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产品特征指标</w:t>
            </w:r>
          </w:p>
        </w:tc>
        <w:tc>
          <w:tcPr>
            <w:tcW w:w="591" w:type="pct"/>
            <w:vMerge w:val="restar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0.10</w:t>
            </w:r>
          </w:p>
        </w:tc>
        <w:tc>
          <w:tcPr>
            <w:tcW w:w="933"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有毒有害物质限量</w:t>
            </w:r>
          </w:p>
        </w:tc>
        <w:tc>
          <w:tcPr>
            <w:tcW w:w="3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≤0.1</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≤0.5</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≤1.0</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15</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目标产物提取收率</w:t>
            </w:r>
          </w:p>
        </w:tc>
        <w:tc>
          <w:tcPr>
            <w:tcW w:w="300"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sz w:val="18"/>
                <w:szCs w:val="18"/>
              </w:rPr>
            </w:pPr>
            <w:r w:rsidRPr="00E23FD8">
              <w:rPr>
                <w:rFonts w:ascii="Times New Roman" w:eastAsiaTheme="minorEastAsia" w:hAnsi="Times New Roman" w:cs="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0.4</w:t>
            </w:r>
          </w:p>
        </w:tc>
        <w:tc>
          <w:tcPr>
            <w:tcW w:w="512"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≥90</w:t>
            </w:r>
          </w:p>
        </w:tc>
        <w:tc>
          <w:tcPr>
            <w:tcW w:w="518"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≥85</w:t>
            </w:r>
          </w:p>
        </w:tc>
        <w:tc>
          <w:tcPr>
            <w:tcW w:w="822" w:type="pct"/>
            <w:vAlign w:val="center"/>
          </w:tcPr>
          <w:p w:rsidR="00F81EE3" w:rsidRPr="00E23FD8" w:rsidRDefault="00F81EE3" w:rsidP="000274D0">
            <w:pPr>
              <w:pStyle w:val="Default"/>
              <w:snapToGrid w:val="0"/>
              <w:spacing w:line="300" w:lineRule="auto"/>
              <w:jc w:val="center"/>
              <w:rPr>
                <w:rFonts w:ascii="Times New Roman" w:eastAsiaTheme="minorEastAsia" w:hAnsi="Times New Roman" w:cs="Times New Roman"/>
                <w:color w:val="auto"/>
                <w:sz w:val="18"/>
                <w:szCs w:val="18"/>
              </w:rPr>
            </w:pPr>
            <w:r w:rsidRPr="00E23FD8">
              <w:rPr>
                <w:rFonts w:ascii="Times New Roman" w:eastAsiaTheme="minorEastAsia" w:hAnsi="Times New Roman" w:cs="Times New Roman"/>
                <w:color w:val="auto"/>
                <w:sz w:val="18"/>
                <w:szCs w:val="18"/>
              </w:rPr>
              <w:t>≥80</w:t>
            </w:r>
          </w:p>
        </w:tc>
      </w:tr>
      <w:tr w:rsidR="00F81EE3" w:rsidRPr="00E23FD8" w:rsidTr="000274D0">
        <w:trPr>
          <w:jc w:val="center"/>
        </w:trPr>
        <w:tc>
          <w:tcPr>
            <w:tcW w:w="250" w:type="pct"/>
            <w:vAlign w:val="center"/>
          </w:tcPr>
          <w:p w:rsidR="00F81EE3" w:rsidRPr="00E23FD8" w:rsidRDefault="00C874A7"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16</w:t>
            </w:r>
          </w:p>
        </w:tc>
        <w:tc>
          <w:tcPr>
            <w:tcW w:w="474"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933"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精制收率</w:t>
            </w:r>
          </w:p>
        </w:tc>
        <w:tc>
          <w:tcPr>
            <w:tcW w:w="300"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w:t>
            </w:r>
          </w:p>
        </w:tc>
        <w:tc>
          <w:tcPr>
            <w:tcW w:w="600" w:type="pct"/>
            <w:vAlign w:val="center"/>
          </w:tcPr>
          <w:p w:rsidR="00F81EE3" w:rsidRPr="00E23FD8" w:rsidRDefault="00F81EE3"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0.3</w:t>
            </w:r>
          </w:p>
        </w:tc>
        <w:tc>
          <w:tcPr>
            <w:tcW w:w="51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≥90</w:t>
            </w:r>
          </w:p>
        </w:tc>
        <w:tc>
          <w:tcPr>
            <w:tcW w:w="518"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≥85</w:t>
            </w:r>
          </w:p>
        </w:tc>
        <w:tc>
          <w:tcPr>
            <w:tcW w:w="822" w:type="pct"/>
            <w:vAlign w:val="center"/>
          </w:tcPr>
          <w:p w:rsidR="00F81EE3" w:rsidRPr="00E23FD8" w:rsidRDefault="00F81EE3" w:rsidP="000274D0">
            <w:pPr>
              <w:adjustRightInd w:val="0"/>
              <w:snapToGrid w:val="0"/>
              <w:spacing w:line="300" w:lineRule="auto"/>
              <w:jc w:val="center"/>
              <w:rPr>
                <w:rFonts w:ascii="Times New Roman" w:eastAsiaTheme="minorEastAsia" w:hAnsi="Times New Roman"/>
                <w:sz w:val="18"/>
                <w:szCs w:val="18"/>
              </w:rPr>
            </w:pPr>
            <w:r w:rsidRPr="00E23FD8">
              <w:rPr>
                <w:rFonts w:ascii="Times New Roman" w:eastAsiaTheme="minorEastAsia" w:hAnsi="Times New Roman"/>
                <w:sz w:val="18"/>
                <w:szCs w:val="18"/>
              </w:rPr>
              <w:t>≥80</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17</w:t>
            </w:r>
          </w:p>
        </w:tc>
        <w:tc>
          <w:tcPr>
            <w:tcW w:w="474"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清洁生产管理指标</w:t>
            </w:r>
          </w:p>
        </w:tc>
        <w:tc>
          <w:tcPr>
            <w:tcW w:w="591" w:type="pct"/>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0.20</w:t>
            </w: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环境法律法规标准</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生产工艺和装备符合产业政策要求，污染物排放达到排放标准、符合总量控制和排污许可证管理要求，严格执行建设项目环境影</w:t>
            </w:r>
            <w:r w:rsidRPr="00E23FD8">
              <w:rPr>
                <w:rFonts w:ascii="Times New Roman" w:eastAsiaTheme="minorEastAsia" w:hAnsi="Times New Roman"/>
                <w:kern w:val="0"/>
                <w:sz w:val="18"/>
                <w:szCs w:val="18"/>
              </w:rPr>
              <w:lastRenderedPageBreak/>
              <w:t>响评价制度和建设项目环保</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三同时</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制度</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lastRenderedPageBreak/>
              <w:t>18</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废物处理处置</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根据固体废物性质鉴别的结果，一般工业固体废物按照</w:t>
            </w:r>
            <w:r w:rsidRPr="00E23FD8">
              <w:rPr>
                <w:rFonts w:ascii="Times New Roman" w:eastAsiaTheme="minorEastAsia" w:hAnsi="Times New Roman"/>
                <w:kern w:val="0"/>
                <w:sz w:val="18"/>
                <w:szCs w:val="18"/>
              </w:rPr>
              <w:t>GB18599</w:t>
            </w:r>
            <w:r w:rsidRPr="00E23FD8">
              <w:rPr>
                <w:rFonts w:ascii="Times New Roman" w:eastAsiaTheme="minorEastAsia" w:hAnsi="Times New Roman"/>
                <w:kern w:val="0"/>
                <w:sz w:val="18"/>
                <w:szCs w:val="18"/>
              </w:rPr>
              <w:t>的要求进行处置，危险废物按照</w:t>
            </w:r>
            <w:r w:rsidRPr="00E23FD8">
              <w:rPr>
                <w:rFonts w:ascii="Times New Roman" w:eastAsiaTheme="minorEastAsia" w:hAnsi="Times New Roman"/>
                <w:kern w:val="0"/>
                <w:sz w:val="18"/>
                <w:szCs w:val="18"/>
              </w:rPr>
              <w:t>GB18597</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GB18598</w:t>
            </w:r>
            <w:r w:rsidRPr="00E23FD8">
              <w:rPr>
                <w:rFonts w:ascii="Times New Roman" w:eastAsiaTheme="minorEastAsia" w:hAnsi="Times New Roman"/>
                <w:kern w:val="0"/>
                <w:sz w:val="18"/>
                <w:szCs w:val="18"/>
              </w:rPr>
              <w:t>等的要求进行处置</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19</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组织机构</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建立健全专门环保管理机构，配备专职管理人员，开展环境保护和清洁生产有关工作</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20</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相关认证</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sz w:val="18"/>
                <w:szCs w:val="18"/>
              </w:rPr>
              <w:t>通过</w:t>
            </w:r>
            <w:r w:rsidRPr="00E23FD8">
              <w:rPr>
                <w:rFonts w:ascii="Times New Roman" w:eastAsiaTheme="minorEastAsia" w:hAnsi="Times New Roman"/>
                <w:sz w:val="18"/>
                <w:szCs w:val="18"/>
              </w:rPr>
              <w:t>ISO 9000</w:t>
            </w:r>
            <w:r w:rsidRPr="00E23FD8">
              <w:rPr>
                <w:rFonts w:ascii="Times New Roman" w:eastAsiaTheme="minorEastAsia" w:hAnsi="Times New Roman"/>
                <w:sz w:val="18"/>
                <w:szCs w:val="18"/>
              </w:rPr>
              <w:t>质量管理体系认证，通过现行版</w:t>
            </w:r>
            <w:r w:rsidRPr="00E23FD8">
              <w:rPr>
                <w:rFonts w:ascii="Times New Roman" w:eastAsiaTheme="minorEastAsia" w:hAnsi="Times New Roman"/>
                <w:sz w:val="18"/>
                <w:szCs w:val="18"/>
              </w:rPr>
              <w:t>GMP</w:t>
            </w:r>
            <w:r w:rsidRPr="00E23FD8">
              <w:rPr>
                <w:rFonts w:ascii="Times New Roman" w:eastAsiaTheme="minorEastAsia" w:hAnsi="Times New Roman"/>
                <w:sz w:val="18"/>
                <w:szCs w:val="18"/>
              </w:rPr>
              <w:t>认证，通过</w:t>
            </w:r>
            <w:r w:rsidRPr="00E23FD8">
              <w:rPr>
                <w:rFonts w:ascii="Times New Roman" w:eastAsiaTheme="minorEastAsia" w:hAnsi="Times New Roman"/>
                <w:sz w:val="18"/>
                <w:szCs w:val="18"/>
              </w:rPr>
              <w:t>ISO 14000</w:t>
            </w:r>
            <w:r w:rsidRPr="00E23FD8">
              <w:rPr>
                <w:rFonts w:ascii="Times New Roman" w:eastAsiaTheme="minorEastAsia" w:hAnsi="Times New Roman"/>
                <w:sz w:val="18"/>
                <w:szCs w:val="18"/>
              </w:rPr>
              <w:t>环境管理体系认证</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21</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清洁生产审核</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按照</w:t>
            </w:r>
            <w:r w:rsidRPr="00E23FD8">
              <w:rPr>
                <w:rFonts w:ascii="Times New Roman" w:eastAsiaTheme="minorEastAsia" w:hAnsi="Times New Roman"/>
                <w:kern w:val="0"/>
                <w:sz w:val="18"/>
                <w:szCs w:val="18"/>
              </w:rPr>
              <w:t>GB/T24001</w:t>
            </w:r>
            <w:r w:rsidRPr="00E23FD8">
              <w:rPr>
                <w:rFonts w:ascii="Times New Roman" w:eastAsiaTheme="minorEastAsia" w:hAnsi="Times New Roman"/>
                <w:kern w:val="0"/>
                <w:sz w:val="18"/>
                <w:szCs w:val="18"/>
              </w:rPr>
              <w:t>建立并有效运行环境管理体系，环境管理手册、程序文件及作业文件齐备，定期完成新一轮清洁生产审核，审核方案全部实施，并通过验收</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22</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环保设施运行管理</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0.1</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环保设施正常运行，无跑、冒、滴、漏现象，设立环保标识，环保设施运行台账齐全</w:t>
            </w:r>
          </w:p>
        </w:tc>
      </w:tr>
      <w:tr w:rsidR="007811C2" w:rsidRPr="00E23FD8" w:rsidTr="000274D0">
        <w:trPr>
          <w:jc w:val="center"/>
        </w:trPr>
        <w:tc>
          <w:tcPr>
            <w:tcW w:w="25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23</w:t>
            </w:r>
          </w:p>
        </w:tc>
        <w:tc>
          <w:tcPr>
            <w:tcW w:w="474"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591" w:type="pct"/>
            <w:vMerge/>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p>
        </w:tc>
        <w:tc>
          <w:tcPr>
            <w:tcW w:w="1233" w:type="pct"/>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环境应急</w:t>
            </w:r>
          </w:p>
        </w:tc>
        <w:tc>
          <w:tcPr>
            <w:tcW w:w="600" w:type="pct"/>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0.2</w:t>
            </w:r>
          </w:p>
        </w:tc>
        <w:tc>
          <w:tcPr>
            <w:tcW w:w="1852" w:type="pct"/>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编制环境风险应急预案，并进行备案，定期开展环境风险应急演练，可及时应对重大环境污染事故发生</w:t>
            </w:r>
          </w:p>
        </w:tc>
      </w:tr>
    </w:tbl>
    <w:p w:rsidR="00371FFD" w:rsidRPr="00E23FD8" w:rsidRDefault="00371FFD" w:rsidP="000274D0">
      <w:pPr>
        <w:autoSpaceDE w:val="0"/>
        <w:autoSpaceDN w:val="0"/>
        <w:adjustRightInd w:val="0"/>
        <w:snapToGrid w:val="0"/>
        <w:spacing w:line="300" w:lineRule="auto"/>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注：带</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的指标为限定性指标</w:t>
      </w:r>
    </w:p>
    <w:p w:rsidR="00371FFD" w:rsidRPr="00E23FD8" w:rsidRDefault="00371FFD" w:rsidP="000274D0">
      <w:pPr>
        <w:adjustRightInd w:val="0"/>
        <w:snapToGrid w:val="0"/>
        <w:spacing w:line="300" w:lineRule="auto"/>
        <w:rPr>
          <w:rFonts w:ascii="Times New Roman" w:hAnsi="Times New Roman"/>
        </w:rPr>
      </w:pPr>
    </w:p>
    <w:p w:rsidR="00371FFD" w:rsidRPr="00E23FD8" w:rsidRDefault="00371FFD" w:rsidP="000274D0">
      <w:pPr>
        <w:adjustRightInd w:val="0"/>
        <w:snapToGrid w:val="0"/>
        <w:spacing w:line="300" w:lineRule="auto"/>
        <w:rPr>
          <w:rFonts w:ascii="Times New Roman" w:hAnsi="Times New Roman"/>
        </w:rPr>
        <w:sectPr w:rsidR="00371FFD" w:rsidRPr="00E23FD8" w:rsidSect="00293563">
          <w:pgSz w:w="16838" w:h="11906" w:orient="landscape"/>
          <w:pgMar w:top="1418" w:right="1418" w:bottom="1418" w:left="1418" w:header="851" w:footer="992" w:gutter="0"/>
          <w:cols w:space="425"/>
          <w:docGrid w:linePitch="312"/>
        </w:sectPr>
      </w:pPr>
    </w:p>
    <w:bookmarkEnd w:id="20"/>
    <w:p w:rsidR="00A84DEE" w:rsidRPr="00E23FD8" w:rsidRDefault="00A84DEE" w:rsidP="000274D0">
      <w:pPr>
        <w:adjustRightInd w:val="0"/>
        <w:snapToGrid w:val="0"/>
        <w:spacing w:line="300" w:lineRule="auto"/>
        <w:jc w:val="center"/>
        <w:rPr>
          <w:rFonts w:ascii="Times New Roman" w:eastAsia="黑体" w:hAnsi="Times New Roman"/>
          <w:szCs w:val="21"/>
        </w:rPr>
      </w:pPr>
      <w:r w:rsidRPr="00E23FD8">
        <w:rPr>
          <w:rFonts w:ascii="Times New Roman" w:eastAsia="黑体" w:hAnsi="Times New Roman"/>
          <w:szCs w:val="21"/>
        </w:rPr>
        <w:lastRenderedPageBreak/>
        <w:t>表</w:t>
      </w:r>
      <w:r w:rsidR="00824211" w:rsidRPr="00E23FD8">
        <w:rPr>
          <w:rFonts w:ascii="Times New Roman" w:eastAsia="黑体" w:hAnsi="Times New Roman"/>
          <w:szCs w:val="21"/>
        </w:rPr>
        <w:t>3</w:t>
      </w:r>
      <w:r w:rsidRPr="00E23FD8">
        <w:rPr>
          <w:rFonts w:ascii="Times New Roman" w:eastAsia="黑体" w:hAnsi="Times New Roman"/>
          <w:szCs w:val="21"/>
        </w:rPr>
        <w:t>微生物发酵法原料药清洁生产定量评价指标项目、权重及基准值</w:t>
      </w:r>
    </w:p>
    <w:tbl>
      <w:tblPr>
        <w:tblW w:w="14456"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4A0"/>
      </w:tblPr>
      <w:tblGrid>
        <w:gridCol w:w="709"/>
        <w:gridCol w:w="1345"/>
        <w:gridCol w:w="1676"/>
        <w:gridCol w:w="2922"/>
        <w:gridCol w:w="851"/>
        <w:gridCol w:w="1700"/>
        <w:gridCol w:w="1335"/>
        <w:gridCol w:w="1443"/>
        <w:gridCol w:w="2475"/>
      </w:tblGrid>
      <w:tr w:rsidR="00371FFD" w:rsidRPr="00E23FD8" w:rsidTr="000274D0">
        <w:trPr>
          <w:trHeight w:val="368"/>
          <w:tblHeader/>
          <w:jc w:val="center"/>
        </w:trPr>
        <w:tc>
          <w:tcPr>
            <w:tcW w:w="709"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bookmarkStart w:id="21" w:name="_Toc368639121"/>
            <w:r w:rsidRPr="000274D0">
              <w:rPr>
                <w:rFonts w:ascii="黑体" w:eastAsia="黑体" w:hAnsi="黑体"/>
                <w:kern w:val="0"/>
                <w:sz w:val="18"/>
                <w:szCs w:val="18"/>
              </w:rPr>
              <w:t>序号</w:t>
            </w:r>
          </w:p>
        </w:tc>
        <w:tc>
          <w:tcPr>
            <w:tcW w:w="1345"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w:t>
            </w:r>
          </w:p>
        </w:tc>
        <w:tc>
          <w:tcPr>
            <w:tcW w:w="1676"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一级指标权重</w:t>
            </w:r>
          </w:p>
        </w:tc>
        <w:tc>
          <w:tcPr>
            <w:tcW w:w="2922"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w:t>
            </w:r>
          </w:p>
        </w:tc>
        <w:tc>
          <w:tcPr>
            <w:tcW w:w="851"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单位</w:t>
            </w:r>
          </w:p>
        </w:tc>
        <w:tc>
          <w:tcPr>
            <w:tcW w:w="1700"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kern w:val="0"/>
                <w:sz w:val="18"/>
                <w:szCs w:val="18"/>
              </w:rPr>
              <w:t>二级指标权重</w:t>
            </w:r>
          </w:p>
        </w:tc>
        <w:tc>
          <w:tcPr>
            <w:tcW w:w="1335"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Ⅰ</w:t>
            </w:r>
            <w:r w:rsidRPr="000274D0">
              <w:rPr>
                <w:rFonts w:ascii="黑体" w:eastAsia="黑体" w:hAnsi="黑体"/>
                <w:kern w:val="0"/>
                <w:sz w:val="18"/>
                <w:szCs w:val="18"/>
              </w:rPr>
              <w:t>级基准值</w:t>
            </w:r>
          </w:p>
        </w:tc>
        <w:tc>
          <w:tcPr>
            <w:tcW w:w="1443"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Ⅱ</w:t>
            </w:r>
            <w:r w:rsidRPr="000274D0">
              <w:rPr>
                <w:rFonts w:ascii="黑体" w:eastAsia="黑体" w:hAnsi="黑体"/>
                <w:kern w:val="0"/>
                <w:sz w:val="18"/>
                <w:szCs w:val="18"/>
              </w:rPr>
              <w:t>级基准值</w:t>
            </w:r>
          </w:p>
        </w:tc>
        <w:tc>
          <w:tcPr>
            <w:tcW w:w="2475" w:type="dxa"/>
            <w:vAlign w:val="center"/>
          </w:tcPr>
          <w:p w:rsidR="00371FFD" w:rsidRPr="000274D0" w:rsidRDefault="00371FFD" w:rsidP="000274D0">
            <w:pPr>
              <w:autoSpaceDE w:val="0"/>
              <w:autoSpaceDN w:val="0"/>
              <w:adjustRightInd w:val="0"/>
              <w:snapToGrid w:val="0"/>
              <w:spacing w:line="300" w:lineRule="auto"/>
              <w:jc w:val="center"/>
              <w:rPr>
                <w:rFonts w:ascii="黑体" w:eastAsia="黑体" w:hAnsi="黑体"/>
                <w:kern w:val="0"/>
                <w:sz w:val="18"/>
                <w:szCs w:val="18"/>
              </w:rPr>
            </w:pPr>
            <w:r w:rsidRPr="000274D0">
              <w:rPr>
                <w:rFonts w:ascii="黑体" w:eastAsia="黑体" w:hAnsi="黑体" w:cs="宋体" w:hint="eastAsia"/>
                <w:kern w:val="0"/>
                <w:sz w:val="18"/>
                <w:szCs w:val="18"/>
              </w:rPr>
              <w:t>Ⅲ</w:t>
            </w:r>
            <w:r w:rsidRPr="000274D0">
              <w:rPr>
                <w:rFonts w:ascii="黑体" w:eastAsia="黑体" w:hAnsi="黑体"/>
                <w:kern w:val="0"/>
                <w:sz w:val="18"/>
                <w:szCs w:val="18"/>
              </w:rPr>
              <w:t>级基准值</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w:t>
            </w:r>
          </w:p>
        </w:tc>
        <w:tc>
          <w:tcPr>
            <w:tcW w:w="1345" w:type="dxa"/>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生产工艺及装备指标</w:t>
            </w:r>
          </w:p>
        </w:tc>
        <w:tc>
          <w:tcPr>
            <w:tcW w:w="1676" w:type="dxa"/>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工艺类型</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0.6</w:t>
            </w:r>
          </w:p>
        </w:tc>
        <w:tc>
          <w:tcPr>
            <w:tcW w:w="2778"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采用绿色酶法技术，并运用色谱分离、离子色谱、连续离子交换色谱等工艺技术，使用高效发酵菌种，纯天然有机碳源和氮源</w:t>
            </w:r>
          </w:p>
        </w:tc>
        <w:tc>
          <w:tcPr>
            <w:tcW w:w="2475"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采用绿色酶法技术，并运用色谱分离、离子色谱、连续离子交换色谱等工艺技术，使用高效发酵菌种，普通碳源和氮源</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装备设备</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2778"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使用膜分离或多效浓缩，使用喷射真空泵，</w:t>
            </w:r>
            <w:r w:rsidRPr="00E23FD8">
              <w:rPr>
                <w:rFonts w:ascii="Times New Roman" w:hAnsi="Times New Roman"/>
                <w:sz w:val="18"/>
                <w:szCs w:val="18"/>
              </w:rPr>
              <w:t>CIP</w:t>
            </w:r>
            <w:r w:rsidRPr="00E23FD8">
              <w:rPr>
                <w:rFonts w:ascii="Times New Roman" w:hAnsi="Times New Roman"/>
                <w:sz w:val="18"/>
                <w:szCs w:val="18"/>
              </w:rPr>
              <w:t>清洗，自动控制系统和生产监控系统</w:t>
            </w:r>
          </w:p>
        </w:tc>
        <w:tc>
          <w:tcPr>
            <w:tcW w:w="2475"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使用膜分离或多效浓缩，使用喷射真空泵，</w:t>
            </w:r>
            <w:r w:rsidRPr="00E23FD8">
              <w:rPr>
                <w:rFonts w:ascii="Times New Roman" w:hAnsi="Times New Roman"/>
                <w:sz w:val="18"/>
                <w:szCs w:val="18"/>
              </w:rPr>
              <w:t>CIP</w:t>
            </w:r>
            <w:r w:rsidRPr="00E23FD8">
              <w:rPr>
                <w:rFonts w:ascii="Times New Roman" w:hAnsi="Times New Roman"/>
                <w:sz w:val="18"/>
                <w:szCs w:val="18"/>
              </w:rPr>
              <w:t>清洗</w:t>
            </w:r>
          </w:p>
        </w:tc>
      </w:tr>
      <w:tr w:rsidR="00B5205E" w:rsidRPr="00E23FD8" w:rsidTr="000274D0">
        <w:trPr>
          <w:jc w:val="center"/>
        </w:trPr>
        <w:tc>
          <w:tcPr>
            <w:tcW w:w="709" w:type="dxa"/>
            <w:vAlign w:val="center"/>
          </w:tcPr>
          <w:p w:rsidR="00B5205E"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3</w:t>
            </w:r>
          </w:p>
        </w:tc>
        <w:tc>
          <w:tcPr>
            <w:tcW w:w="1345" w:type="dxa"/>
            <w:vMerge w:val="restart"/>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资源能源消耗指标</w:t>
            </w:r>
          </w:p>
        </w:tc>
        <w:tc>
          <w:tcPr>
            <w:tcW w:w="1676" w:type="dxa"/>
            <w:vMerge w:val="restart"/>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0.15</w:t>
            </w:r>
          </w:p>
        </w:tc>
        <w:tc>
          <w:tcPr>
            <w:tcW w:w="2922" w:type="dxa"/>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单位产品综合能耗</w:t>
            </w:r>
          </w:p>
        </w:tc>
        <w:tc>
          <w:tcPr>
            <w:tcW w:w="851" w:type="dxa"/>
            <w:vAlign w:val="center"/>
          </w:tcPr>
          <w:p w:rsidR="00B5205E" w:rsidRPr="00E23FD8" w:rsidRDefault="001E312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w:t>
            </w:r>
            <w:r w:rsidR="00B5205E" w:rsidRPr="00E23FD8">
              <w:rPr>
                <w:rFonts w:ascii="Times New Roman" w:hAnsi="Times New Roman"/>
                <w:kern w:val="0"/>
                <w:sz w:val="18"/>
                <w:szCs w:val="18"/>
              </w:rPr>
              <w:t>ec/t</w:t>
            </w:r>
          </w:p>
        </w:tc>
        <w:tc>
          <w:tcPr>
            <w:tcW w:w="1700" w:type="dxa"/>
            <w:vAlign w:val="center"/>
          </w:tcPr>
          <w:p w:rsidR="00B5205E"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1335" w:type="dxa"/>
            <w:vAlign w:val="center"/>
          </w:tcPr>
          <w:p w:rsidR="00B5205E" w:rsidRPr="00E23FD8" w:rsidRDefault="0042038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526D10" w:rsidRPr="00E23FD8">
              <w:rPr>
                <w:rFonts w:ascii="Times New Roman" w:hAnsi="Times New Roman"/>
                <w:sz w:val="18"/>
                <w:szCs w:val="18"/>
              </w:rPr>
              <w:t>1.2</w:t>
            </w:r>
          </w:p>
        </w:tc>
        <w:tc>
          <w:tcPr>
            <w:tcW w:w="1443" w:type="dxa"/>
            <w:vAlign w:val="center"/>
          </w:tcPr>
          <w:p w:rsidR="00B5205E" w:rsidRPr="00E23FD8" w:rsidRDefault="0042038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526D10" w:rsidRPr="00E23FD8">
              <w:rPr>
                <w:rFonts w:ascii="Times New Roman" w:hAnsi="Times New Roman"/>
                <w:sz w:val="18"/>
                <w:szCs w:val="18"/>
              </w:rPr>
              <w:t>1.6</w:t>
            </w:r>
          </w:p>
        </w:tc>
        <w:tc>
          <w:tcPr>
            <w:tcW w:w="2475" w:type="dxa"/>
            <w:vAlign w:val="center"/>
          </w:tcPr>
          <w:p w:rsidR="00B5205E" w:rsidRPr="00E23FD8" w:rsidRDefault="0042038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526D10" w:rsidRPr="00E23FD8">
              <w:rPr>
                <w:rFonts w:ascii="Times New Roman" w:hAnsi="Times New Roman"/>
                <w:sz w:val="18"/>
                <w:szCs w:val="18"/>
              </w:rPr>
              <w:t>2</w:t>
            </w:r>
          </w:p>
        </w:tc>
      </w:tr>
      <w:tr w:rsidR="00B5205E" w:rsidRPr="00E23FD8" w:rsidTr="000274D0">
        <w:trPr>
          <w:jc w:val="center"/>
        </w:trPr>
        <w:tc>
          <w:tcPr>
            <w:tcW w:w="709" w:type="dxa"/>
            <w:vAlign w:val="center"/>
          </w:tcPr>
          <w:p w:rsidR="00B5205E"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4</w:t>
            </w:r>
          </w:p>
        </w:tc>
        <w:tc>
          <w:tcPr>
            <w:tcW w:w="1345" w:type="dxa"/>
            <w:vMerge/>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单位产品取水</w:t>
            </w:r>
            <w:r w:rsidR="00F81EE3" w:rsidRPr="00E23FD8">
              <w:rPr>
                <w:rFonts w:ascii="Times New Roman" w:hAnsi="Times New Roman"/>
                <w:kern w:val="0"/>
                <w:sz w:val="18"/>
                <w:szCs w:val="18"/>
              </w:rPr>
              <w:t>量</w:t>
            </w:r>
          </w:p>
        </w:tc>
        <w:tc>
          <w:tcPr>
            <w:tcW w:w="851" w:type="dxa"/>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1700" w:type="dxa"/>
            <w:vAlign w:val="center"/>
          </w:tcPr>
          <w:p w:rsidR="00B5205E"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1335"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42038E" w:rsidRPr="00E23FD8">
              <w:rPr>
                <w:rFonts w:ascii="Times New Roman" w:hAnsi="Times New Roman"/>
                <w:sz w:val="18"/>
                <w:szCs w:val="18"/>
              </w:rPr>
              <w:t>20</w:t>
            </w:r>
            <w:r w:rsidRPr="00E23FD8">
              <w:rPr>
                <w:rFonts w:ascii="Times New Roman" w:hAnsi="Times New Roman"/>
                <w:sz w:val="18"/>
                <w:szCs w:val="18"/>
              </w:rPr>
              <w:t>0</w:t>
            </w:r>
          </w:p>
        </w:tc>
        <w:tc>
          <w:tcPr>
            <w:tcW w:w="1443"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42038E" w:rsidRPr="00E23FD8">
              <w:rPr>
                <w:rFonts w:ascii="Times New Roman" w:hAnsi="Times New Roman"/>
                <w:sz w:val="18"/>
                <w:szCs w:val="18"/>
              </w:rPr>
              <w:t>40</w:t>
            </w:r>
            <w:r w:rsidRPr="00E23FD8">
              <w:rPr>
                <w:rFonts w:ascii="Times New Roman" w:hAnsi="Times New Roman"/>
                <w:sz w:val="18"/>
                <w:szCs w:val="18"/>
              </w:rPr>
              <w:t>0</w:t>
            </w:r>
          </w:p>
        </w:tc>
        <w:tc>
          <w:tcPr>
            <w:tcW w:w="2475"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≤60</w:t>
            </w:r>
            <w:r w:rsidR="0042038E" w:rsidRPr="00E23FD8">
              <w:rPr>
                <w:rFonts w:ascii="Times New Roman" w:hAnsi="Times New Roman"/>
                <w:sz w:val="18"/>
                <w:szCs w:val="18"/>
              </w:rPr>
              <w:t>0</w:t>
            </w:r>
          </w:p>
        </w:tc>
      </w:tr>
      <w:tr w:rsidR="00B5205E" w:rsidRPr="00E23FD8" w:rsidTr="000274D0">
        <w:trPr>
          <w:jc w:val="center"/>
        </w:trPr>
        <w:tc>
          <w:tcPr>
            <w:tcW w:w="709" w:type="dxa"/>
            <w:vAlign w:val="center"/>
          </w:tcPr>
          <w:p w:rsidR="00B5205E"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5</w:t>
            </w:r>
          </w:p>
        </w:tc>
        <w:tc>
          <w:tcPr>
            <w:tcW w:w="1345" w:type="dxa"/>
            <w:vMerge/>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单位产品原辅料</w:t>
            </w:r>
            <w:r w:rsidR="00F81EE3" w:rsidRPr="00E23FD8">
              <w:rPr>
                <w:rFonts w:ascii="Times New Roman" w:hAnsi="Times New Roman"/>
                <w:kern w:val="0"/>
                <w:sz w:val="18"/>
                <w:szCs w:val="18"/>
              </w:rPr>
              <w:t>总</w:t>
            </w:r>
            <w:r w:rsidRPr="00E23FD8">
              <w:rPr>
                <w:rFonts w:ascii="Times New Roman" w:hAnsi="Times New Roman"/>
                <w:kern w:val="0"/>
                <w:sz w:val="18"/>
                <w:szCs w:val="18"/>
              </w:rPr>
              <w:t>消耗</w:t>
            </w:r>
          </w:p>
        </w:tc>
        <w:tc>
          <w:tcPr>
            <w:tcW w:w="851" w:type="dxa"/>
            <w:vAlign w:val="center"/>
          </w:tcPr>
          <w:p w:rsidR="00B5205E" w:rsidRPr="00E23FD8" w:rsidRDefault="00B5205E"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1700" w:type="dxa"/>
            <w:vAlign w:val="center"/>
          </w:tcPr>
          <w:p w:rsidR="00B5205E" w:rsidRPr="00E23FD8" w:rsidRDefault="002F3469"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1335"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3248B5" w:rsidRPr="00E23FD8">
              <w:rPr>
                <w:rFonts w:ascii="Times New Roman" w:hAnsi="Times New Roman"/>
                <w:sz w:val="18"/>
                <w:szCs w:val="18"/>
              </w:rPr>
              <w:t>40</w:t>
            </w:r>
          </w:p>
        </w:tc>
        <w:tc>
          <w:tcPr>
            <w:tcW w:w="1443"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3248B5" w:rsidRPr="00E23FD8">
              <w:rPr>
                <w:rFonts w:ascii="Times New Roman" w:hAnsi="Times New Roman"/>
                <w:sz w:val="18"/>
                <w:szCs w:val="18"/>
              </w:rPr>
              <w:t>50</w:t>
            </w:r>
          </w:p>
        </w:tc>
        <w:tc>
          <w:tcPr>
            <w:tcW w:w="2475" w:type="dxa"/>
            <w:vAlign w:val="center"/>
          </w:tcPr>
          <w:p w:rsidR="00B5205E" w:rsidRPr="00E23FD8" w:rsidRDefault="00B5205E"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r w:rsidR="003248B5" w:rsidRPr="00E23FD8">
              <w:rPr>
                <w:rFonts w:ascii="Times New Roman" w:hAnsi="Times New Roman"/>
                <w:sz w:val="18"/>
                <w:szCs w:val="18"/>
              </w:rPr>
              <w:t>60</w:t>
            </w:r>
          </w:p>
        </w:tc>
      </w:tr>
      <w:tr w:rsidR="005E5667" w:rsidRPr="00E23FD8" w:rsidTr="000274D0">
        <w:trPr>
          <w:jc w:val="center"/>
        </w:trPr>
        <w:tc>
          <w:tcPr>
            <w:tcW w:w="709" w:type="dxa"/>
            <w:vAlign w:val="center"/>
          </w:tcPr>
          <w:p w:rsidR="005E5667"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6</w:t>
            </w:r>
          </w:p>
        </w:tc>
        <w:tc>
          <w:tcPr>
            <w:tcW w:w="1345" w:type="dxa"/>
            <w:vMerge w:val="restart"/>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资源综合利用指标</w:t>
            </w:r>
          </w:p>
        </w:tc>
        <w:tc>
          <w:tcPr>
            <w:tcW w:w="1676" w:type="dxa"/>
            <w:vMerge w:val="restart"/>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2922" w:type="dxa"/>
            <w:vAlign w:val="center"/>
          </w:tcPr>
          <w:p w:rsidR="005E5667" w:rsidRPr="00E23FD8" w:rsidRDefault="005E5667"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原料、菌体渣生产饲肥料率</w:t>
            </w:r>
          </w:p>
        </w:tc>
        <w:tc>
          <w:tcPr>
            <w:tcW w:w="851" w:type="dxa"/>
            <w:vAlign w:val="center"/>
          </w:tcPr>
          <w:p w:rsidR="005E5667" w:rsidRPr="00E23FD8" w:rsidRDefault="005E5667"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w:t>
            </w:r>
          </w:p>
        </w:tc>
        <w:tc>
          <w:tcPr>
            <w:tcW w:w="1700" w:type="dxa"/>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5E5667" w:rsidRPr="00E23FD8" w:rsidRDefault="00B94798"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≥95</w:t>
            </w:r>
          </w:p>
        </w:tc>
        <w:tc>
          <w:tcPr>
            <w:tcW w:w="1443" w:type="dxa"/>
            <w:vAlign w:val="center"/>
          </w:tcPr>
          <w:p w:rsidR="005E5667" w:rsidRPr="00E23FD8" w:rsidRDefault="00D14E1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≥9</w:t>
            </w:r>
            <w:r w:rsidR="005E5667" w:rsidRPr="00E23FD8">
              <w:rPr>
                <w:rFonts w:ascii="Times New Roman" w:hAnsi="Times New Roman" w:cs="Times New Roman"/>
                <w:color w:val="auto"/>
                <w:sz w:val="18"/>
                <w:szCs w:val="18"/>
              </w:rPr>
              <w:t>0</w:t>
            </w:r>
          </w:p>
        </w:tc>
        <w:tc>
          <w:tcPr>
            <w:tcW w:w="2475" w:type="dxa"/>
            <w:vAlign w:val="center"/>
          </w:tcPr>
          <w:p w:rsidR="005E5667" w:rsidRPr="00E23FD8" w:rsidRDefault="00D14E11"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≥8</w:t>
            </w:r>
            <w:r w:rsidR="00B94798" w:rsidRPr="00E23FD8">
              <w:rPr>
                <w:rFonts w:ascii="Times New Roman" w:hAnsi="Times New Roman" w:cs="Times New Roman"/>
                <w:color w:val="auto"/>
                <w:sz w:val="18"/>
                <w:szCs w:val="18"/>
              </w:rPr>
              <w:t>5</w:t>
            </w:r>
          </w:p>
        </w:tc>
      </w:tr>
      <w:tr w:rsidR="005E5667" w:rsidRPr="00E23FD8" w:rsidTr="000274D0">
        <w:trPr>
          <w:jc w:val="center"/>
        </w:trPr>
        <w:tc>
          <w:tcPr>
            <w:tcW w:w="709" w:type="dxa"/>
            <w:vAlign w:val="center"/>
          </w:tcPr>
          <w:p w:rsidR="005E5667"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7</w:t>
            </w:r>
          </w:p>
        </w:tc>
        <w:tc>
          <w:tcPr>
            <w:tcW w:w="1345"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5E5667" w:rsidRPr="00E23FD8" w:rsidRDefault="005E5667" w:rsidP="000274D0">
            <w:pPr>
              <w:adjustRightInd w:val="0"/>
              <w:snapToGrid w:val="0"/>
              <w:spacing w:line="300" w:lineRule="auto"/>
              <w:jc w:val="center"/>
              <w:rPr>
                <w:rFonts w:ascii="Times New Roman" w:hAnsi="Times New Roman"/>
                <w:color w:val="FF0000"/>
                <w:sz w:val="18"/>
                <w:szCs w:val="18"/>
              </w:rPr>
            </w:pPr>
            <w:r w:rsidRPr="00E23FD8">
              <w:rPr>
                <w:rFonts w:ascii="Times New Roman" w:hAnsi="Times New Roman"/>
                <w:sz w:val="18"/>
                <w:szCs w:val="18"/>
              </w:rPr>
              <w:t>发酵废液可利用物质回收率</w:t>
            </w:r>
          </w:p>
        </w:tc>
        <w:tc>
          <w:tcPr>
            <w:tcW w:w="851"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1700" w:type="dxa"/>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133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≥95</w:t>
            </w:r>
          </w:p>
        </w:tc>
        <w:tc>
          <w:tcPr>
            <w:tcW w:w="1443"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≥90</w:t>
            </w:r>
          </w:p>
        </w:tc>
        <w:tc>
          <w:tcPr>
            <w:tcW w:w="247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≥85</w:t>
            </w:r>
          </w:p>
        </w:tc>
      </w:tr>
      <w:tr w:rsidR="005E5667" w:rsidRPr="00E23FD8" w:rsidTr="000274D0">
        <w:trPr>
          <w:jc w:val="center"/>
        </w:trPr>
        <w:tc>
          <w:tcPr>
            <w:tcW w:w="709" w:type="dxa"/>
            <w:vAlign w:val="center"/>
          </w:tcPr>
          <w:p w:rsidR="005E5667"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8</w:t>
            </w:r>
          </w:p>
        </w:tc>
        <w:tc>
          <w:tcPr>
            <w:tcW w:w="1345"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水重复利用率</w:t>
            </w:r>
          </w:p>
        </w:tc>
        <w:tc>
          <w:tcPr>
            <w:tcW w:w="851"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1700" w:type="dxa"/>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≥85</w:t>
            </w:r>
          </w:p>
        </w:tc>
        <w:tc>
          <w:tcPr>
            <w:tcW w:w="1443"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≥80</w:t>
            </w:r>
          </w:p>
        </w:tc>
        <w:tc>
          <w:tcPr>
            <w:tcW w:w="247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≥75</w:t>
            </w:r>
          </w:p>
        </w:tc>
      </w:tr>
      <w:tr w:rsidR="005E5667" w:rsidRPr="00E23FD8" w:rsidTr="000274D0">
        <w:trPr>
          <w:jc w:val="center"/>
        </w:trPr>
        <w:tc>
          <w:tcPr>
            <w:tcW w:w="709" w:type="dxa"/>
            <w:vAlign w:val="center"/>
          </w:tcPr>
          <w:p w:rsidR="005E5667" w:rsidRPr="00E23FD8" w:rsidRDefault="007225E6"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9</w:t>
            </w:r>
          </w:p>
        </w:tc>
        <w:tc>
          <w:tcPr>
            <w:tcW w:w="1345"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产品包装可再生或降解率</w:t>
            </w:r>
          </w:p>
        </w:tc>
        <w:tc>
          <w:tcPr>
            <w:tcW w:w="851"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1700" w:type="dxa"/>
            <w:vAlign w:val="center"/>
          </w:tcPr>
          <w:p w:rsidR="005E5667" w:rsidRPr="00E23FD8" w:rsidRDefault="005E566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133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c>
          <w:tcPr>
            <w:tcW w:w="1443"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c>
          <w:tcPr>
            <w:tcW w:w="2475" w:type="dxa"/>
            <w:vAlign w:val="center"/>
          </w:tcPr>
          <w:p w:rsidR="005E5667" w:rsidRPr="00E23FD8" w:rsidRDefault="005E5667"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10</w:t>
            </w:r>
          </w:p>
        </w:tc>
        <w:tc>
          <w:tcPr>
            <w:tcW w:w="1345" w:type="dxa"/>
            <w:vMerge w:val="restart"/>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污染物产生指标</w:t>
            </w:r>
          </w:p>
        </w:tc>
        <w:tc>
          <w:tcPr>
            <w:tcW w:w="1676" w:type="dxa"/>
            <w:vMerge w:val="restart"/>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2922"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单位产品废水产生量</w:t>
            </w:r>
          </w:p>
        </w:tc>
        <w:tc>
          <w:tcPr>
            <w:tcW w:w="851"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t/t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0.4</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≤900</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≤1000</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≤1200</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11</w:t>
            </w:r>
          </w:p>
        </w:tc>
        <w:tc>
          <w:tcPr>
            <w:tcW w:w="1345"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1D4D1B" w:rsidRPr="00E23FD8" w:rsidRDefault="00F81EE3"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w:t>
            </w:r>
            <w:r w:rsidR="001D4D1B" w:rsidRPr="00E23FD8">
              <w:rPr>
                <w:rFonts w:ascii="Times New Roman" w:hAnsi="Times New Roman" w:cs="Times New Roman"/>
                <w:color w:val="auto"/>
                <w:sz w:val="18"/>
                <w:szCs w:val="18"/>
              </w:rPr>
              <w:t>固体废物产生量（干重）</w:t>
            </w:r>
          </w:p>
        </w:tc>
        <w:tc>
          <w:tcPr>
            <w:tcW w:w="851" w:type="dxa"/>
            <w:vAlign w:val="center"/>
          </w:tcPr>
          <w:p w:rsidR="001D4D1B" w:rsidRPr="00E23FD8" w:rsidRDefault="001D4D1B"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t/t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≤3.5</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≤4.5</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12</w:t>
            </w:r>
          </w:p>
        </w:tc>
        <w:tc>
          <w:tcPr>
            <w:tcW w:w="1345"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1D4D1B" w:rsidRPr="00E23FD8" w:rsidRDefault="001D4D1B"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w:t>
            </w:r>
            <w:r w:rsidRPr="00E23FD8">
              <w:rPr>
                <w:rFonts w:ascii="Times New Roman" w:hAnsi="Times New Roman" w:cs="Times New Roman"/>
                <w:color w:val="auto"/>
                <w:sz w:val="18"/>
                <w:szCs w:val="18"/>
              </w:rPr>
              <w:t>COD</w:t>
            </w:r>
            <w:r w:rsidRPr="00E23FD8">
              <w:rPr>
                <w:rFonts w:ascii="Times New Roman" w:hAnsi="Times New Roman" w:cs="Times New Roman"/>
                <w:color w:val="auto"/>
                <w:sz w:val="18"/>
                <w:szCs w:val="18"/>
              </w:rPr>
              <w:t>产生量</w:t>
            </w:r>
          </w:p>
        </w:tc>
        <w:tc>
          <w:tcPr>
            <w:tcW w:w="851" w:type="dxa"/>
            <w:vAlign w:val="center"/>
          </w:tcPr>
          <w:p w:rsidR="001D4D1B" w:rsidRPr="00E23FD8" w:rsidRDefault="001E3127"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k</w:t>
            </w:r>
            <w:r w:rsidR="001D4D1B" w:rsidRPr="00E23FD8">
              <w:rPr>
                <w:rFonts w:ascii="Times New Roman" w:hAnsi="Times New Roman" w:cs="Times New Roman"/>
                <w:sz w:val="18"/>
                <w:szCs w:val="18"/>
              </w:rPr>
              <w:t>g/t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≤200</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≤300</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≤400</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13</w:t>
            </w:r>
          </w:p>
        </w:tc>
        <w:tc>
          <w:tcPr>
            <w:tcW w:w="1345"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1D4D1B" w:rsidRPr="00E23FD8" w:rsidRDefault="001D4D1B" w:rsidP="000274D0">
            <w:pPr>
              <w:pStyle w:val="Default"/>
              <w:snapToGrid w:val="0"/>
              <w:spacing w:line="300" w:lineRule="auto"/>
              <w:jc w:val="center"/>
              <w:rPr>
                <w:rFonts w:ascii="Times New Roman" w:hAnsi="Times New Roman" w:cs="Times New Roman"/>
                <w:color w:val="auto"/>
                <w:sz w:val="18"/>
                <w:szCs w:val="18"/>
              </w:rPr>
            </w:pPr>
            <w:r w:rsidRPr="00E23FD8">
              <w:rPr>
                <w:rFonts w:ascii="Times New Roman" w:hAnsi="Times New Roman" w:cs="Times New Roman"/>
                <w:color w:val="auto"/>
                <w:sz w:val="18"/>
                <w:szCs w:val="18"/>
              </w:rPr>
              <w:t>单位产品氨氮产生量</w:t>
            </w:r>
          </w:p>
        </w:tc>
        <w:tc>
          <w:tcPr>
            <w:tcW w:w="851" w:type="dxa"/>
            <w:vAlign w:val="center"/>
          </w:tcPr>
          <w:p w:rsidR="001D4D1B" w:rsidRPr="00E23FD8" w:rsidRDefault="001E3127" w:rsidP="000274D0">
            <w:pPr>
              <w:pStyle w:val="Default"/>
              <w:snapToGrid w:val="0"/>
              <w:spacing w:line="300" w:lineRule="auto"/>
              <w:jc w:val="center"/>
              <w:rPr>
                <w:rFonts w:ascii="Times New Roman" w:hAnsi="Times New Roman" w:cs="Times New Roman"/>
                <w:sz w:val="18"/>
                <w:szCs w:val="18"/>
              </w:rPr>
            </w:pPr>
            <w:r w:rsidRPr="00E23FD8">
              <w:rPr>
                <w:rFonts w:ascii="Times New Roman" w:hAnsi="Times New Roman" w:cs="Times New Roman"/>
                <w:sz w:val="18"/>
                <w:szCs w:val="18"/>
              </w:rPr>
              <w:t>k</w:t>
            </w:r>
            <w:r w:rsidR="001D4D1B" w:rsidRPr="00E23FD8">
              <w:rPr>
                <w:rFonts w:ascii="Times New Roman" w:hAnsi="Times New Roman" w:cs="Times New Roman"/>
                <w:sz w:val="18"/>
                <w:szCs w:val="18"/>
              </w:rPr>
              <w:t>g/t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w:t>
            </w:r>
            <w:r w:rsidR="00AC0604" w:rsidRPr="00E23FD8">
              <w:rPr>
                <w:rFonts w:ascii="Times New Roman" w:hAnsi="Times New Roman"/>
                <w:sz w:val="18"/>
                <w:szCs w:val="18"/>
              </w:rPr>
              <w:t>0</w:t>
            </w:r>
            <w:r w:rsidRPr="00E23FD8">
              <w:rPr>
                <w:rFonts w:ascii="Times New Roman" w:hAnsi="Times New Roman"/>
                <w:sz w:val="18"/>
                <w:szCs w:val="18"/>
              </w:rPr>
              <w:t>0</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w:t>
            </w:r>
            <w:r w:rsidR="00AC0604" w:rsidRPr="00E23FD8">
              <w:rPr>
                <w:rFonts w:ascii="Times New Roman" w:hAnsi="Times New Roman"/>
                <w:sz w:val="18"/>
                <w:szCs w:val="18"/>
              </w:rPr>
              <w:t>5</w:t>
            </w:r>
            <w:r w:rsidRPr="00E23FD8">
              <w:rPr>
                <w:rFonts w:ascii="Times New Roman" w:hAnsi="Times New Roman"/>
                <w:sz w:val="18"/>
                <w:szCs w:val="18"/>
              </w:rPr>
              <w:t>0</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≤2</w:t>
            </w:r>
            <w:r w:rsidR="00AC0604" w:rsidRPr="00E23FD8">
              <w:rPr>
                <w:rFonts w:ascii="Times New Roman" w:hAnsi="Times New Roman"/>
                <w:sz w:val="18"/>
                <w:szCs w:val="18"/>
              </w:rPr>
              <w:t>0</w:t>
            </w:r>
            <w:r w:rsidRPr="00E23FD8">
              <w:rPr>
                <w:rFonts w:ascii="Times New Roman" w:hAnsi="Times New Roman"/>
                <w:sz w:val="18"/>
                <w:szCs w:val="18"/>
              </w:rPr>
              <w:t>0</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14</w:t>
            </w:r>
          </w:p>
        </w:tc>
        <w:tc>
          <w:tcPr>
            <w:tcW w:w="1345" w:type="dxa"/>
            <w:vMerge w:val="restart"/>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产品特征指标</w:t>
            </w:r>
          </w:p>
        </w:tc>
        <w:tc>
          <w:tcPr>
            <w:tcW w:w="1676" w:type="dxa"/>
            <w:vMerge w:val="restart"/>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0.10</w:t>
            </w:r>
          </w:p>
        </w:tc>
        <w:tc>
          <w:tcPr>
            <w:tcW w:w="2922"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有毒有害物质限量</w:t>
            </w:r>
          </w:p>
        </w:tc>
        <w:tc>
          <w:tcPr>
            <w:tcW w:w="851"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≤0.1</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≤0.5</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15</w:t>
            </w:r>
          </w:p>
        </w:tc>
        <w:tc>
          <w:tcPr>
            <w:tcW w:w="1345"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发酵时间</w:t>
            </w:r>
          </w:p>
        </w:tc>
        <w:tc>
          <w:tcPr>
            <w:tcW w:w="851" w:type="dxa"/>
            <w:vAlign w:val="center"/>
          </w:tcPr>
          <w:p w:rsidR="001D4D1B" w:rsidRPr="00E23FD8" w:rsidRDefault="0071449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d</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0.5</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≤10</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≤12</w:t>
            </w:r>
          </w:p>
        </w:tc>
      </w:tr>
      <w:tr w:rsidR="001D4D1B" w:rsidRPr="00E23FD8" w:rsidTr="000274D0">
        <w:trPr>
          <w:jc w:val="center"/>
        </w:trPr>
        <w:tc>
          <w:tcPr>
            <w:tcW w:w="709" w:type="dxa"/>
            <w:vAlign w:val="center"/>
          </w:tcPr>
          <w:p w:rsidR="001D4D1B" w:rsidRPr="00E23FD8" w:rsidRDefault="00C874A7"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16</w:t>
            </w:r>
          </w:p>
        </w:tc>
        <w:tc>
          <w:tcPr>
            <w:tcW w:w="1345"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p>
        </w:tc>
        <w:tc>
          <w:tcPr>
            <w:tcW w:w="2922"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精制收率</w:t>
            </w:r>
          </w:p>
        </w:tc>
        <w:tc>
          <w:tcPr>
            <w:tcW w:w="851"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w:t>
            </w:r>
          </w:p>
        </w:tc>
        <w:tc>
          <w:tcPr>
            <w:tcW w:w="1700" w:type="dxa"/>
            <w:vAlign w:val="center"/>
          </w:tcPr>
          <w:p w:rsidR="001D4D1B" w:rsidRPr="00E23FD8" w:rsidRDefault="001D4D1B"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0.3</w:t>
            </w:r>
          </w:p>
        </w:tc>
        <w:tc>
          <w:tcPr>
            <w:tcW w:w="133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≥85</w:t>
            </w:r>
          </w:p>
        </w:tc>
        <w:tc>
          <w:tcPr>
            <w:tcW w:w="1443"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≥75</w:t>
            </w:r>
          </w:p>
        </w:tc>
        <w:tc>
          <w:tcPr>
            <w:tcW w:w="2475" w:type="dxa"/>
            <w:vAlign w:val="center"/>
          </w:tcPr>
          <w:p w:rsidR="001D4D1B" w:rsidRPr="00E23FD8" w:rsidRDefault="001D4D1B" w:rsidP="000274D0">
            <w:pPr>
              <w:adjustRightInd w:val="0"/>
              <w:snapToGrid w:val="0"/>
              <w:spacing w:line="300" w:lineRule="auto"/>
              <w:jc w:val="center"/>
              <w:rPr>
                <w:rFonts w:ascii="Times New Roman" w:hAnsi="Times New Roman"/>
                <w:sz w:val="18"/>
                <w:szCs w:val="18"/>
              </w:rPr>
            </w:pPr>
            <w:r w:rsidRPr="00E23FD8">
              <w:rPr>
                <w:rFonts w:ascii="Times New Roman" w:hAnsi="Times New Roman"/>
                <w:sz w:val="18"/>
                <w:szCs w:val="18"/>
              </w:rPr>
              <w:t>≥70</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17</w:t>
            </w:r>
          </w:p>
        </w:tc>
        <w:tc>
          <w:tcPr>
            <w:tcW w:w="1345" w:type="dxa"/>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清洁生产管理指标</w:t>
            </w:r>
          </w:p>
        </w:tc>
        <w:tc>
          <w:tcPr>
            <w:tcW w:w="1676" w:type="dxa"/>
            <w:vMerge w:val="restart"/>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0.20</w:t>
            </w: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环境法律法规标准</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生产工艺和装备符合产业政策要求，污染物排放达到排放标准、符合总量控制和排污许可证管理要求，严格执行建设项目环境影响评价制度和建设项目环保</w:t>
            </w:r>
            <w:r w:rsidRPr="00E23FD8">
              <w:rPr>
                <w:rFonts w:ascii="Times New Roman" w:hAnsi="Times New Roman"/>
                <w:kern w:val="0"/>
                <w:sz w:val="18"/>
                <w:szCs w:val="18"/>
              </w:rPr>
              <w:t>“</w:t>
            </w:r>
            <w:r w:rsidRPr="00E23FD8">
              <w:rPr>
                <w:rFonts w:ascii="Times New Roman" w:hAnsi="Times New Roman"/>
                <w:kern w:val="0"/>
                <w:sz w:val="18"/>
                <w:szCs w:val="18"/>
              </w:rPr>
              <w:t>三同</w:t>
            </w:r>
            <w:r w:rsidRPr="00E23FD8">
              <w:rPr>
                <w:rFonts w:ascii="Times New Roman" w:hAnsi="Times New Roman"/>
                <w:kern w:val="0"/>
                <w:sz w:val="18"/>
                <w:szCs w:val="18"/>
              </w:rPr>
              <w:t>18</w:t>
            </w:r>
            <w:r w:rsidRPr="00E23FD8">
              <w:rPr>
                <w:rFonts w:ascii="Times New Roman" w:hAnsi="Times New Roman"/>
                <w:kern w:val="0"/>
                <w:sz w:val="18"/>
                <w:szCs w:val="18"/>
              </w:rPr>
              <w:t>时</w:t>
            </w:r>
            <w:r w:rsidRPr="00E23FD8">
              <w:rPr>
                <w:rFonts w:ascii="Times New Roman" w:hAnsi="Times New Roman"/>
                <w:kern w:val="0"/>
                <w:sz w:val="18"/>
                <w:szCs w:val="18"/>
              </w:rPr>
              <w:t>”</w:t>
            </w:r>
            <w:r w:rsidRPr="00E23FD8">
              <w:rPr>
                <w:rFonts w:ascii="Times New Roman" w:hAnsi="Times New Roman"/>
                <w:kern w:val="0"/>
                <w:sz w:val="18"/>
                <w:szCs w:val="18"/>
              </w:rPr>
              <w:t>制度</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18</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w:t>
            </w:r>
            <w:r w:rsidRPr="00E23FD8">
              <w:rPr>
                <w:rFonts w:ascii="Times New Roman" w:hAnsi="Times New Roman"/>
                <w:kern w:val="0"/>
                <w:sz w:val="18"/>
                <w:szCs w:val="18"/>
              </w:rPr>
              <w:t>废物处理处置</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19</w:t>
            </w:r>
            <w:r w:rsidRPr="00E23FD8">
              <w:rPr>
                <w:rFonts w:ascii="Times New Roman" w:hAnsi="Times New Roman"/>
                <w:kern w:val="0"/>
                <w:sz w:val="18"/>
                <w:szCs w:val="18"/>
              </w:rPr>
              <w:t>根据固体废物性质鉴别的结果，一般工业固体废物按照</w:t>
            </w:r>
            <w:r w:rsidRPr="00E23FD8">
              <w:rPr>
                <w:rFonts w:ascii="Times New Roman" w:hAnsi="Times New Roman"/>
                <w:kern w:val="0"/>
                <w:sz w:val="18"/>
                <w:szCs w:val="18"/>
              </w:rPr>
              <w:t>20GB18599</w:t>
            </w:r>
            <w:r w:rsidRPr="00E23FD8">
              <w:rPr>
                <w:rFonts w:ascii="Times New Roman" w:hAnsi="Times New Roman"/>
                <w:kern w:val="0"/>
                <w:sz w:val="18"/>
                <w:szCs w:val="18"/>
              </w:rPr>
              <w:t>的要求进行处置，危险废物按照</w:t>
            </w:r>
            <w:r w:rsidRPr="00E23FD8">
              <w:rPr>
                <w:rFonts w:ascii="Times New Roman" w:hAnsi="Times New Roman"/>
                <w:kern w:val="0"/>
                <w:sz w:val="18"/>
                <w:szCs w:val="18"/>
              </w:rPr>
              <w:t>GB18597</w:t>
            </w:r>
            <w:r w:rsidRPr="00E23FD8">
              <w:rPr>
                <w:rFonts w:ascii="Times New Roman" w:hAnsi="Times New Roman"/>
                <w:kern w:val="0"/>
                <w:sz w:val="18"/>
                <w:szCs w:val="18"/>
              </w:rPr>
              <w:t>，</w:t>
            </w:r>
            <w:r w:rsidRPr="00E23FD8">
              <w:rPr>
                <w:rFonts w:ascii="Times New Roman" w:hAnsi="Times New Roman"/>
                <w:kern w:val="0"/>
                <w:sz w:val="18"/>
                <w:szCs w:val="18"/>
              </w:rPr>
              <w:t>GB18598</w:t>
            </w:r>
            <w:r w:rsidRPr="00E23FD8">
              <w:rPr>
                <w:rFonts w:ascii="Times New Roman" w:hAnsi="Times New Roman"/>
                <w:kern w:val="0"/>
                <w:sz w:val="18"/>
                <w:szCs w:val="18"/>
              </w:rPr>
              <w:lastRenderedPageBreak/>
              <w:t>等的要求进行处置</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lastRenderedPageBreak/>
              <w:t>19</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组织机构</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建立健全专门环保管理机构，配备专职管理人员，开展环境保护和清洁生产有关工作</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20</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相关认证</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sz w:val="18"/>
                <w:szCs w:val="18"/>
              </w:rPr>
              <w:t>通过</w:t>
            </w:r>
            <w:r w:rsidRPr="00E23FD8">
              <w:rPr>
                <w:rFonts w:ascii="Times New Roman" w:hAnsi="Times New Roman"/>
                <w:sz w:val="18"/>
                <w:szCs w:val="18"/>
              </w:rPr>
              <w:t>ISO 9000</w:t>
            </w:r>
            <w:r w:rsidRPr="00E23FD8">
              <w:rPr>
                <w:rFonts w:ascii="Times New Roman" w:hAnsi="Times New Roman"/>
                <w:sz w:val="18"/>
                <w:szCs w:val="18"/>
              </w:rPr>
              <w:t>质量管理体系认证，通过现行版</w:t>
            </w:r>
            <w:r w:rsidRPr="00E23FD8">
              <w:rPr>
                <w:rFonts w:ascii="Times New Roman" w:hAnsi="Times New Roman"/>
                <w:sz w:val="18"/>
                <w:szCs w:val="18"/>
              </w:rPr>
              <w:t>GMP</w:t>
            </w:r>
            <w:r w:rsidRPr="00E23FD8">
              <w:rPr>
                <w:rFonts w:ascii="Times New Roman" w:hAnsi="Times New Roman"/>
                <w:sz w:val="18"/>
                <w:szCs w:val="18"/>
              </w:rPr>
              <w:t>认证，通过</w:t>
            </w:r>
            <w:r w:rsidRPr="00E23FD8">
              <w:rPr>
                <w:rFonts w:ascii="Times New Roman" w:hAnsi="Times New Roman"/>
                <w:sz w:val="18"/>
                <w:szCs w:val="18"/>
              </w:rPr>
              <w:t>ISO 14000</w:t>
            </w:r>
            <w:r w:rsidRPr="00E23FD8">
              <w:rPr>
                <w:rFonts w:ascii="Times New Roman" w:hAnsi="Times New Roman"/>
                <w:sz w:val="18"/>
                <w:szCs w:val="18"/>
              </w:rPr>
              <w:t>环境管理体系认证</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21</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清洁生产审核</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253" w:type="dxa"/>
            <w:gridSpan w:val="3"/>
            <w:tcBorders>
              <w:right w:val="nil"/>
            </w:tcBorders>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按照</w:t>
            </w:r>
            <w:r w:rsidRPr="00E23FD8">
              <w:rPr>
                <w:rFonts w:ascii="Times New Roman" w:hAnsi="Times New Roman"/>
                <w:kern w:val="0"/>
                <w:sz w:val="18"/>
                <w:szCs w:val="18"/>
              </w:rPr>
              <w:t>GB/T24001</w:t>
            </w:r>
            <w:r w:rsidRPr="00E23FD8">
              <w:rPr>
                <w:rFonts w:ascii="Times New Roman" w:hAnsi="Times New Roman"/>
                <w:kern w:val="0"/>
                <w:sz w:val="18"/>
                <w:szCs w:val="18"/>
              </w:rPr>
              <w:t>建立并有效运行环境管理体系，环境管理手册、程序文件及作业文件齐备，定期完成新一轮清洁生产审核，审核方案全部实施，并通过验收</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22</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环保设施运行管理</w:t>
            </w: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0.1</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环保设施正常运行，无跑、冒、滴、漏现象，设立环保标识，环保设施运行台账齐全</w:t>
            </w:r>
          </w:p>
        </w:tc>
      </w:tr>
      <w:tr w:rsidR="007811C2" w:rsidRPr="00E23FD8" w:rsidTr="000274D0">
        <w:trPr>
          <w:jc w:val="center"/>
        </w:trPr>
        <w:tc>
          <w:tcPr>
            <w:tcW w:w="709"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23</w:t>
            </w:r>
          </w:p>
        </w:tc>
        <w:tc>
          <w:tcPr>
            <w:tcW w:w="1345"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676" w:type="dxa"/>
            <w:vMerge/>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3773" w:type="dxa"/>
            <w:gridSpan w:val="2"/>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p>
        </w:tc>
        <w:tc>
          <w:tcPr>
            <w:tcW w:w="1700" w:type="dxa"/>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0.2</w:t>
            </w:r>
          </w:p>
        </w:tc>
        <w:tc>
          <w:tcPr>
            <w:tcW w:w="5253" w:type="dxa"/>
            <w:gridSpan w:val="3"/>
            <w:vAlign w:val="center"/>
          </w:tcPr>
          <w:p w:rsidR="007811C2" w:rsidRPr="00E23FD8" w:rsidRDefault="007811C2" w:rsidP="000274D0">
            <w:pPr>
              <w:autoSpaceDE w:val="0"/>
              <w:autoSpaceDN w:val="0"/>
              <w:adjustRightInd w:val="0"/>
              <w:snapToGrid w:val="0"/>
              <w:spacing w:line="300" w:lineRule="auto"/>
              <w:jc w:val="center"/>
              <w:rPr>
                <w:rFonts w:ascii="Times New Roman" w:hAnsi="Times New Roman"/>
                <w:kern w:val="0"/>
                <w:sz w:val="18"/>
                <w:szCs w:val="18"/>
              </w:rPr>
            </w:pPr>
            <w:r w:rsidRPr="00E23FD8">
              <w:rPr>
                <w:rFonts w:ascii="Times New Roman" w:hAnsi="Times New Roman"/>
                <w:kern w:val="0"/>
                <w:sz w:val="18"/>
                <w:szCs w:val="18"/>
              </w:rPr>
              <w:t>编制环境风险应急预案，并进行备案，定期开展环境风险应急演练，可及时应对重大环境污染事故发生</w:t>
            </w:r>
          </w:p>
        </w:tc>
      </w:tr>
    </w:tbl>
    <w:p w:rsidR="00371FFD" w:rsidRPr="00E23FD8" w:rsidRDefault="00371FFD" w:rsidP="000274D0">
      <w:pPr>
        <w:autoSpaceDE w:val="0"/>
        <w:autoSpaceDN w:val="0"/>
        <w:adjustRightInd w:val="0"/>
        <w:snapToGrid w:val="0"/>
        <w:spacing w:line="300" w:lineRule="auto"/>
        <w:rPr>
          <w:rFonts w:ascii="Times New Roman" w:eastAsiaTheme="minorEastAsia" w:hAnsi="Times New Roman"/>
          <w:kern w:val="0"/>
          <w:sz w:val="18"/>
          <w:szCs w:val="18"/>
        </w:rPr>
      </w:pPr>
      <w:r w:rsidRPr="00E23FD8">
        <w:rPr>
          <w:rFonts w:ascii="Times New Roman" w:eastAsiaTheme="minorEastAsia" w:hAnsi="Times New Roman"/>
          <w:kern w:val="0"/>
          <w:sz w:val="18"/>
          <w:szCs w:val="18"/>
        </w:rPr>
        <w:t>注：带</w:t>
      </w:r>
      <w:r w:rsidRPr="00E23FD8">
        <w:rPr>
          <w:rFonts w:ascii="Times New Roman" w:eastAsiaTheme="minorEastAsia" w:hAnsi="Times New Roman"/>
          <w:kern w:val="0"/>
          <w:sz w:val="18"/>
          <w:szCs w:val="18"/>
        </w:rPr>
        <w:t>*</w:t>
      </w:r>
      <w:r w:rsidRPr="00E23FD8">
        <w:rPr>
          <w:rFonts w:ascii="Times New Roman" w:eastAsiaTheme="minorEastAsia" w:hAnsi="Times New Roman"/>
          <w:kern w:val="0"/>
          <w:sz w:val="18"/>
          <w:szCs w:val="18"/>
        </w:rPr>
        <w:t>的指标为限定性指标</w:t>
      </w:r>
    </w:p>
    <w:p w:rsidR="00371FFD" w:rsidRPr="00E23FD8" w:rsidRDefault="00371FFD" w:rsidP="000274D0">
      <w:pPr>
        <w:adjustRightInd w:val="0"/>
        <w:snapToGrid w:val="0"/>
        <w:spacing w:line="300" w:lineRule="auto"/>
        <w:rPr>
          <w:rFonts w:ascii="Times New Roman" w:eastAsiaTheme="minorEastAsia" w:hAnsi="Times New Roman"/>
          <w:sz w:val="18"/>
          <w:szCs w:val="18"/>
        </w:rPr>
        <w:sectPr w:rsidR="00371FFD" w:rsidRPr="00E23FD8" w:rsidSect="005D1B45">
          <w:pgSz w:w="16838" w:h="11906" w:orient="landscape"/>
          <w:pgMar w:top="1418" w:right="1418" w:bottom="851" w:left="1418" w:header="851" w:footer="992" w:gutter="0"/>
          <w:cols w:space="425"/>
          <w:docGrid w:linePitch="312"/>
        </w:sectPr>
      </w:pPr>
    </w:p>
    <w:p w:rsidR="00A216E8" w:rsidRDefault="00A216E8"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22" w:name="_Toc456896869"/>
      <w:bookmarkStart w:id="23" w:name="_Toc462389135"/>
      <w:bookmarkEnd w:id="21"/>
      <w:r w:rsidRPr="00E23FD8">
        <w:rPr>
          <w:rFonts w:ascii="Times New Roman" w:eastAsia="黑体" w:hAnsi="Times New Roman"/>
          <w:b w:val="0"/>
          <w:bCs w:val="0"/>
          <w:kern w:val="2"/>
          <w:sz w:val="21"/>
          <w:szCs w:val="21"/>
        </w:rPr>
        <w:lastRenderedPageBreak/>
        <w:t xml:space="preserve">5 </w:t>
      </w:r>
      <w:r w:rsidRPr="00E23FD8">
        <w:rPr>
          <w:rFonts w:ascii="Times New Roman" w:eastAsia="黑体" w:hAnsi="Times New Roman"/>
          <w:b w:val="0"/>
          <w:bCs w:val="0"/>
          <w:kern w:val="2"/>
          <w:sz w:val="21"/>
          <w:szCs w:val="21"/>
        </w:rPr>
        <w:t>评价方法</w:t>
      </w:r>
      <w:bookmarkEnd w:id="22"/>
      <w:bookmarkEnd w:id="23"/>
    </w:p>
    <w:p w:rsidR="00792820" w:rsidRPr="00792820" w:rsidRDefault="00792820" w:rsidP="009133F1">
      <w:pPr>
        <w:pStyle w:val="3"/>
        <w:adjustRightInd w:val="0"/>
        <w:snapToGrid w:val="0"/>
        <w:spacing w:beforeLines="50" w:afterLines="50" w:line="300" w:lineRule="auto"/>
        <w:rPr>
          <w:rFonts w:eastAsia="黑体"/>
          <w:b w:val="0"/>
          <w:sz w:val="21"/>
          <w:szCs w:val="21"/>
        </w:rPr>
      </w:pPr>
      <w:bookmarkStart w:id="24" w:name="_Toc1893"/>
      <w:bookmarkStart w:id="25" w:name="_Toc15606"/>
      <w:r w:rsidRPr="00792820">
        <w:rPr>
          <w:rFonts w:eastAsia="黑体"/>
          <w:b w:val="0"/>
          <w:sz w:val="21"/>
          <w:szCs w:val="21"/>
        </w:rPr>
        <w:t xml:space="preserve">5.1  </w:t>
      </w:r>
      <w:r w:rsidRPr="00792820">
        <w:rPr>
          <w:rFonts w:eastAsia="黑体"/>
          <w:b w:val="0"/>
          <w:sz w:val="21"/>
          <w:szCs w:val="21"/>
        </w:rPr>
        <w:t>指标无量纲化</w:t>
      </w:r>
      <w:bookmarkEnd w:id="24"/>
      <w:bookmarkEnd w:id="25"/>
    </w:p>
    <w:p w:rsidR="00792820" w:rsidRPr="00256BA5" w:rsidRDefault="00792820" w:rsidP="000274D0">
      <w:pPr>
        <w:adjustRightInd w:val="0"/>
        <w:snapToGrid w:val="0"/>
        <w:spacing w:line="300" w:lineRule="auto"/>
        <w:ind w:firstLineChars="200" w:firstLine="420"/>
        <w:jc w:val="left"/>
      </w:pPr>
      <w:r w:rsidRPr="00256BA5">
        <w:t>不同清洁生产指标由于量纲不同，不能直接比较，需要建立原始指标的隶属函数。</w:t>
      </w:r>
    </w:p>
    <w:p w:rsidR="00792820" w:rsidRPr="00256BA5" w:rsidRDefault="00792820" w:rsidP="000274D0">
      <w:pPr>
        <w:adjustRightInd w:val="0"/>
        <w:snapToGrid w:val="0"/>
        <w:spacing w:line="300" w:lineRule="auto"/>
        <w:ind w:firstLineChars="200" w:firstLine="420"/>
        <w:jc w:val="center"/>
      </w:pPr>
      <w:r w:rsidRPr="00256BA5">
        <w:rPr>
          <w:position w:val="-34"/>
        </w:rPr>
        <w:object w:dxaOrig="228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113.25pt;height:39pt" o:ole="">
            <v:imagedata r:id="rId13" o:title=""/>
          </v:shape>
          <o:OLEObject Type="Embed" ProgID="Equation.DSMT4" ShapeID="对象 59" DrawAspect="Content" ObjectID="_1536152710" r:id="rId14"/>
        </w:object>
      </w:r>
    </w:p>
    <w:p w:rsidR="00792820" w:rsidRPr="00256BA5" w:rsidRDefault="00792820" w:rsidP="000274D0">
      <w:pPr>
        <w:adjustRightInd w:val="0"/>
        <w:snapToGrid w:val="0"/>
        <w:spacing w:line="300" w:lineRule="auto"/>
        <w:ind w:firstLineChars="200" w:firstLine="420"/>
        <w:jc w:val="left"/>
      </w:pPr>
      <w:r w:rsidRPr="00256BA5">
        <w:t>式中，</w:t>
      </w:r>
      <w:r w:rsidRPr="00256BA5">
        <w:rPr>
          <w:position w:val="-14"/>
        </w:rPr>
        <w:object w:dxaOrig="279" w:dyaOrig="379">
          <v:shape id="对象 60" o:spid="_x0000_i1026" type="#_x0000_t75" style="width:14.25pt;height:18pt" o:ole="">
            <v:imagedata r:id="rId15" o:title=""/>
          </v:shape>
          <o:OLEObject Type="Embed" ProgID="Equation.3" ShapeID="对象 60" DrawAspect="Content" ObjectID="_1536152711" r:id="rId16"/>
        </w:object>
      </w:r>
      <w:r w:rsidRPr="00256BA5">
        <w:t>表示第</w:t>
      </w:r>
      <w:r w:rsidRPr="00256BA5">
        <w:rPr>
          <w:i/>
          <w:iCs/>
          <w:sz w:val="23"/>
          <w:szCs w:val="23"/>
        </w:rPr>
        <w:t>i</w:t>
      </w:r>
      <w:r w:rsidRPr="00256BA5">
        <w:t>个一级指标下的第</w:t>
      </w:r>
      <w:r w:rsidRPr="00256BA5">
        <w:rPr>
          <w:i/>
          <w:iCs/>
          <w:sz w:val="23"/>
          <w:szCs w:val="23"/>
        </w:rPr>
        <w:t>j</w:t>
      </w:r>
      <w:r w:rsidRPr="00256BA5">
        <w:t>个二级评价指标；</w:t>
      </w:r>
      <w:r w:rsidR="00B30BDC" w:rsidRPr="00256BA5">
        <w:fldChar w:fldCharType="begin"/>
      </w:r>
      <w:r w:rsidRPr="00256BA5">
        <w:instrText xml:space="preserve"> QUOTE   \* MERGEFORMAT </w:instrText>
      </w:r>
      <w:r w:rsidR="00B30BDC" w:rsidRPr="00256BA5">
        <w:fldChar w:fldCharType="separate"/>
      </w:r>
      <w:r w:rsidRPr="00256BA5">
        <w:rPr>
          <w:position w:val="-12"/>
        </w:rPr>
        <w:object w:dxaOrig="299" w:dyaOrig="359">
          <v:shape id="对象 61" o:spid="_x0000_i1027" type="#_x0000_t75" style="width:15pt;height:18pt" o:ole="">
            <v:imagedata r:id="rId17" o:title=""/>
          </v:shape>
          <o:OLEObject Type="Embed" ProgID="Equation.3" ShapeID="对象 61" DrawAspect="Content" ObjectID="_1536152712" r:id="rId18"/>
        </w:object>
      </w:r>
      <w:r w:rsidR="00B30BDC" w:rsidRPr="00256BA5">
        <w:fldChar w:fldCharType="end"/>
      </w:r>
      <w:r w:rsidRPr="00256BA5">
        <w:t>表示二级指标基准值，其中</w:t>
      </w:r>
      <w:r w:rsidR="00B30BDC" w:rsidRPr="00256BA5">
        <w:fldChar w:fldCharType="begin"/>
      </w:r>
      <w:r w:rsidRPr="00256BA5">
        <w:instrText xml:space="preserve"> QUOTE   \* MERGEFORMAT </w:instrText>
      </w:r>
      <w:r w:rsidR="00B30BDC" w:rsidRPr="00256BA5">
        <w:fldChar w:fldCharType="separate"/>
      </w:r>
      <w:r w:rsidRPr="00256BA5">
        <w:rPr>
          <w:position w:val="-10"/>
        </w:rPr>
        <w:object w:dxaOrig="279" w:dyaOrig="339">
          <v:shape id="对象 62" o:spid="_x0000_i1028" type="#_x0000_t75" style="width:14.25pt;height:18pt" o:ole="">
            <v:imagedata r:id="rId19" o:title=""/>
          </v:shape>
          <o:OLEObject Type="Embed" ProgID="Equation.3" ShapeID="对象 62" DrawAspect="Content" ObjectID="_1536152713" r:id="rId20"/>
        </w:object>
      </w:r>
      <w:r w:rsidR="00B30BDC" w:rsidRPr="00256BA5">
        <w:fldChar w:fldCharType="end"/>
      </w:r>
      <w:r w:rsidRPr="00256BA5">
        <w:t>为</w:t>
      </w:r>
      <w:r w:rsidRPr="00256BA5">
        <w:rPr>
          <w:rFonts w:ascii="宋体" w:hAnsi="宋体" w:cs="宋体" w:hint="eastAsia"/>
        </w:rPr>
        <w:t>Ⅰ</w:t>
      </w:r>
      <w:r w:rsidRPr="00256BA5">
        <w:t>级水平，</w:t>
      </w:r>
      <w:r w:rsidRPr="00256BA5">
        <w:rPr>
          <w:position w:val="-10"/>
        </w:rPr>
        <w:object w:dxaOrig="299" w:dyaOrig="339">
          <v:shape id="对象 63" o:spid="_x0000_i1029" type="#_x0000_t75" style="width:15pt;height:18pt" o:ole="">
            <v:imagedata r:id="rId21" o:title=""/>
          </v:shape>
          <o:OLEObject Type="Embed" ProgID="Equation.3" ShapeID="对象 63" DrawAspect="Content" ObjectID="_1536152714" r:id="rId22"/>
        </w:object>
      </w:r>
      <w:r w:rsidRPr="00256BA5">
        <w:t>为</w:t>
      </w:r>
      <w:r w:rsidRPr="00256BA5">
        <w:rPr>
          <w:rFonts w:ascii="宋体" w:hAnsi="宋体" w:cs="宋体" w:hint="eastAsia"/>
        </w:rPr>
        <w:t>Ⅱ</w:t>
      </w:r>
      <w:r w:rsidRPr="00256BA5">
        <w:t>级水平，</w:t>
      </w:r>
      <w:r w:rsidRPr="00256BA5">
        <w:rPr>
          <w:position w:val="-12"/>
        </w:rPr>
        <w:object w:dxaOrig="299" w:dyaOrig="359">
          <v:shape id="对象 64" o:spid="_x0000_i1030" type="#_x0000_t75" style="width:15pt;height:18pt" o:ole="">
            <v:imagedata r:id="rId23" o:title=""/>
          </v:shape>
          <o:OLEObject Type="Embed" ProgID="Equation.3" ShapeID="对象 64" DrawAspect="Content" ObjectID="_1536152715" r:id="rId24"/>
        </w:object>
      </w:r>
      <w:r w:rsidRPr="00256BA5">
        <w:t>为</w:t>
      </w:r>
      <w:r w:rsidRPr="00256BA5">
        <w:rPr>
          <w:rFonts w:ascii="宋体" w:hAnsi="宋体" w:cs="宋体" w:hint="eastAsia"/>
        </w:rPr>
        <w:t>Ⅲ</w:t>
      </w:r>
      <w:r w:rsidRPr="00256BA5">
        <w:t>级水平；</w:t>
      </w:r>
      <w:r w:rsidRPr="00256BA5">
        <w:rPr>
          <w:position w:val="-14"/>
        </w:rPr>
        <w:object w:dxaOrig="839" w:dyaOrig="379">
          <v:shape id="对象 65" o:spid="_x0000_i1031" type="#_x0000_t75" style="width:42pt;height:18pt" o:ole="">
            <v:imagedata r:id="rId25" o:title=""/>
          </v:shape>
          <o:OLEObject Type="Embed" ProgID="Equation.3" ShapeID="对象 65" DrawAspect="Content" ObjectID="_1536152716" r:id="rId26"/>
        </w:object>
      </w:r>
      <w:r w:rsidRPr="00256BA5">
        <w:t>为二级指标</w:t>
      </w:r>
      <w:r w:rsidRPr="00256BA5">
        <w:rPr>
          <w:position w:val="-14"/>
        </w:rPr>
        <w:object w:dxaOrig="279" w:dyaOrig="379">
          <v:shape id="对象 66" o:spid="_x0000_i1032" type="#_x0000_t75" style="width:14.25pt;height:18pt" o:ole="">
            <v:imagedata r:id="rId15" o:title=""/>
          </v:shape>
          <o:OLEObject Type="Embed" ProgID="Equation.3" ShapeID="对象 66" DrawAspect="Content" ObjectID="_1536152717" r:id="rId27"/>
        </w:object>
      </w:r>
      <w:r w:rsidRPr="00256BA5">
        <w:t>对于级别</w:t>
      </w:r>
      <w:r w:rsidR="00B30BDC" w:rsidRPr="00256BA5">
        <w:fldChar w:fldCharType="begin"/>
      </w:r>
      <w:r w:rsidRPr="00256BA5">
        <w:instrText xml:space="preserve"> QUOTE   \* MERGEFORMAT </w:instrText>
      </w:r>
      <w:r w:rsidR="00B30BDC" w:rsidRPr="00256BA5">
        <w:fldChar w:fldCharType="separate"/>
      </w:r>
      <w:r w:rsidRPr="00256BA5">
        <w:rPr>
          <w:position w:val="-12"/>
        </w:rPr>
        <w:object w:dxaOrig="299" w:dyaOrig="359">
          <v:shape id="对象 67" o:spid="_x0000_i1033" type="#_x0000_t75" style="width:15pt;height:18pt" o:ole="">
            <v:imagedata r:id="rId17" o:title=""/>
          </v:shape>
          <o:OLEObject Type="Embed" ProgID="Equation.3" ShapeID="对象 67" DrawAspect="Content" ObjectID="_1536152718" r:id="rId28"/>
        </w:object>
      </w:r>
      <w:r w:rsidR="00B30BDC" w:rsidRPr="00256BA5">
        <w:fldChar w:fldCharType="end"/>
      </w:r>
      <w:r w:rsidRPr="00256BA5">
        <w:t>的隶属函数。</w:t>
      </w:r>
    </w:p>
    <w:p w:rsidR="00792820" w:rsidRPr="00256BA5" w:rsidRDefault="00792820" w:rsidP="000274D0">
      <w:pPr>
        <w:adjustRightInd w:val="0"/>
        <w:snapToGrid w:val="0"/>
        <w:spacing w:line="300" w:lineRule="auto"/>
        <w:ind w:firstLineChars="200" w:firstLine="420"/>
        <w:jc w:val="left"/>
      </w:pPr>
      <w:r w:rsidRPr="00256BA5">
        <w:t>如公式（</w:t>
      </w:r>
      <w:r w:rsidRPr="00256BA5">
        <w:rPr>
          <w:szCs w:val="21"/>
        </w:rPr>
        <w:t>1</w:t>
      </w:r>
      <w:r w:rsidRPr="00256BA5">
        <w:t>）所示，若指标</w:t>
      </w:r>
      <w:r w:rsidRPr="00256BA5">
        <w:rPr>
          <w:position w:val="-14"/>
        </w:rPr>
        <w:object w:dxaOrig="279" w:dyaOrig="379">
          <v:shape id="对象 68" o:spid="_x0000_i1034" type="#_x0000_t75" style="width:14.25pt;height:18pt" o:ole="">
            <v:imagedata r:id="rId15" o:title=""/>
          </v:shape>
          <o:OLEObject Type="Embed" ProgID="Equation.3" ShapeID="对象 68" DrawAspect="Content" ObjectID="_1536152719" r:id="rId29"/>
        </w:object>
      </w:r>
      <w:r w:rsidRPr="00256BA5">
        <w:t>属于级别</w:t>
      </w:r>
      <w:r w:rsidR="00B30BDC" w:rsidRPr="00256BA5">
        <w:fldChar w:fldCharType="begin"/>
      </w:r>
      <w:r w:rsidRPr="00256BA5">
        <w:instrText xml:space="preserve"> QUOTE   \* MERGEFORMAT </w:instrText>
      </w:r>
      <w:r w:rsidR="00B30BDC" w:rsidRPr="00256BA5">
        <w:fldChar w:fldCharType="separate"/>
      </w:r>
      <w:r w:rsidRPr="00256BA5">
        <w:rPr>
          <w:position w:val="-12"/>
        </w:rPr>
        <w:object w:dxaOrig="299" w:dyaOrig="359">
          <v:shape id="对象 69" o:spid="_x0000_i1035" type="#_x0000_t75" style="width:15pt;height:18pt" o:ole="">
            <v:imagedata r:id="rId17" o:title=""/>
          </v:shape>
          <o:OLEObject Type="Embed" ProgID="Equation.3" ShapeID="对象 69" DrawAspect="Content" ObjectID="_1536152720" r:id="rId30"/>
        </w:object>
      </w:r>
      <w:r w:rsidR="00B30BDC" w:rsidRPr="00256BA5">
        <w:fldChar w:fldCharType="end"/>
      </w:r>
      <w:r w:rsidRPr="00256BA5">
        <w:t>，则隶属函数的值为</w:t>
      </w:r>
      <w:r w:rsidRPr="00256BA5">
        <w:t>100</w:t>
      </w:r>
      <w:r w:rsidRPr="00256BA5">
        <w:t>，否则为</w:t>
      </w:r>
      <w:r w:rsidRPr="00256BA5">
        <w:t>0</w:t>
      </w:r>
      <w:r w:rsidRPr="00256BA5">
        <w:t>。</w:t>
      </w:r>
    </w:p>
    <w:p w:rsidR="00792820" w:rsidRPr="00256BA5" w:rsidRDefault="00792820" w:rsidP="009133F1">
      <w:pPr>
        <w:pStyle w:val="3"/>
        <w:adjustRightInd w:val="0"/>
        <w:snapToGrid w:val="0"/>
        <w:spacing w:beforeLines="50" w:afterLines="50" w:line="300" w:lineRule="auto"/>
        <w:rPr>
          <w:rFonts w:eastAsia="黑体"/>
          <w:b w:val="0"/>
          <w:sz w:val="21"/>
          <w:szCs w:val="21"/>
        </w:rPr>
      </w:pPr>
      <w:bookmarkStart w:id="26" w:name="_Toc5095"/>
      <w:bookmarkStart w:id="27" w:name="_Toc23494"/>
      <w:r w:rsidRPr="00256BA5">
        <w:rPr>
          <w:rFonts w:eastAsia="黑体"/>
          <w:b w:val="0"/>
          <w:sz w:val="21"/>
          <w:szCs w:val="21"/>
        </w:rPr>
        <w:t xml:space="preserve">5.2  </w:t>
      </w:r>
      <w:r w:rsidRPr="00256BA5">
        <w:rPr>
          <w:rFonts w:eastAsia="黑体"/>
          <w:b w:val="0"/>
          <w:sz w:val="21"/>
          <w:szCs w:val="21"/>
        </w:rPr>
        <w:t>综合评价指数计算</w:t>
      </w:r>
      <w:bookmarkEnd w:id="26"/>
      <w:bookmarkEnd w:id="27"/>
    </w:p>
    <w:p w:rsidR="00792820" w:rsidRPr="00256BA5" w:rsidRDefault="00792820" w:rsidP="000274D0">
      <w:pPr>
        <w:adjustRightInd w:val="0"/>
        <w:snapToGrid w:val="0"/>
        <w:spacing w:line="300" w:lineRule="auto"/>
        <w:ind w:firstLineChars="200" w:firstLine="420"/>
        <w:jc w:val="left"/>
      </w:pPr>
      <w:r w:rsidRPr="00256BA5">
        <w:t>通过加权平均、逐层收敛可得到评价对象在不同级别</w:t>
      </w:r>
      <w:r w:rsidRPr="00256BA5">
        <w:rPr>
          <w:position w:val="-10"/>
        </w:rPr>
        <w:object w:dxaOrig="304" w:dyaOrig="344">
          <v:shape id="对象 75" o:spid="_x0000_i1036" type="#_x0000_t75" style="width:15pt;height:17.25pt" o:ole="">
            <v:imagedata r:id="rId31" o:title=""/>
          </v:shape>
          <o:OLEObject Type="Embed" ProgID="Equation.3" ShapeID="对象 75" DrawAspect="Content" ObjectID="_1536152721" r:id="rId32"/>
        </w:object>
      </w:r>
      <w:r w:rsidRPr="00256BA5">
        <w:t>的得分</w:t>
      </w:r>
      <w:r w:rsidRPr="00256BA5">
        <w:rPr>
          <w:position w:val="-14"/>
        </w:rPr>
        <w:object w:dxaOrig="405" w:dyaOrig="385">
          <v:shape id="对象 76" o:spid="_x0000_i1037" type="#_x0000_t75" style="width:20.25pt;height:18.75pt" o:ole="">
            <v:imagedata r:id="rId33" o:title=""/>
          </v:shape>
          <o:OLEObject Type="Embed" ProgID="Equation.3" ShapeID="对象 76" DrawAspect="Content" ObjectID="_1536152722" r:id="rId34"/>
        </w:object>
      </w:r>
      <w:r w:rsidRPr="00256BA5">
        <w:t>，如公式（</w:t>
      </w:r>
      <w:r w:rsidRPr="00256BA5">
        <w:t>5.2</w:t>
      </w:r>
      <w:r w:rsidRPr="00256BA5">
        <w:t>）所示。</w:t>
      </w:r>
    </w:p>
    <w:p w:rsidR="00792820" w:rsidRPr="00256BA5" w:rsidRDefault="00792820" w:rsidP="000274D0">
      <w:pPr>
        <w:pStyle w:val="af3"/>
        <w:adjustRightInd w:val="0"/>
        <w:snapToGrid w:val="0"/>
        <w:spacing w:line="300" w:lineRule="auto"/>
        <w:jc w:val="left"/>
        <w:rPr>
          <w:rFonts w:ascii="Times New Roman"/>
        </w:rPr>
      </w:pPr>
      <w:r w:rsidRPr="00256BA5">
        <w:rPr>
          <w:rFonts w:ascii="Times New Roman"/>
        </w:rPr>
        <w:tab/>
      </w:r>
      <w:r w:rsidRPr="00256BA5">
        <w:rPr>
          <w:rFonts w:ascii="Times New Roman"/>
          <w:position w:val="-30"/>
          <w:sz w:val="18"/>
          <w:szCs w:val="18"/>
        </w:rPr>
        <w:object w:dxaOrig="2640" w:dyaOrig="719">
          <v:shape id="对象 77" o:spid="_x0000_i1038" type="#_x0000_t75" style="width:132pt;height:36pt" o:ole="">
            <v:imagedata r:id="rId35" o:title=""/>
          </v:shape>
          <o:OLEObject Type="Embed" ProgID="Equation.3" ShapeID="对象 77" DrawAspect="Content" ObjectID="_1536152723" r:id="rId36"/>
        </w:object>
      </w:r>
    </w:p>
    <w:p w:rsidR="00792820" w:rsidRPr="00256BA5" w:rsidRDefault="00792820" w:rsidP="000274D0">
      <w:pPr>
        <w:pStyle w:val="af1"/>
        <w:adjustRightInd w:val="0"/>
        <w:snapToGrid w:val="0"/>
        <w:spacing w:line="300" w:lineRule="auto"/>
        <w:rPr>
          <w:rFonts w:ascii="Times New Roman"/>
        </w:rPr>
      </w:pPr>
      <w:r w:rsidRPr="00256BA5">
        <w:rPr>
          <w:rFonts w:ascii="Times New Roman"/>
        </w:rPr>
        <w:t>式中，</w:t>
      </w:r>
      <w:r w:rsidRPr="00256BA5">
        <w:rPr>
          <w:rFonts w:ascii="Times New Roman"/>
          <w:position w:val="-12"/>
        </w:rPr>
        <w:object w:dxaOrig="282" w:dyaOrig="363">
          <v:shape id="对象 78" o:spid="_x0000_i1039" type="#_x0000_t75" style="width:14.25pt;height:18pt" o:ole="">
            <v:imagedata r:id="rId37" o:title=""/>
          </v:shape>
          <o:OLEObject Type="Embed" ProgID="Equation.3" ShapeID="对象 78" DrawAspect="Content" ObjectID="_1536152724" r:id="rId38"/>
        </w:object>
      </w:r>
      <w:r w:rsidRPr="00256BA5">
        <w:rPr>
          <w:rFonts w:ascii="Times New Roman"/>
          <w:spacing w:val="-20"/>
          <w:kern w:val="18"/>
          <w:sz w:val="18"/>
        </w:rPr>
        <w:t>—</w:t>
      </w:r>
      <w:r w:rsidRPr="00256BA5">
        <w:rPr>
          <w:rFonts w:ascii="Times New Roman"/>
          <w:kern w:val="18"/>
          <w:sz w:val="18"/>
        </w:rPr>
        <w:t>—</w:t>
      </w:r>
      <w:r w:rsidRPr="00256BA5">
        <w:rPr>
          <w:rFonts w:ascii="Times New Roman"/>
        </w:rPr>
        <w:t>第</w:t>
      </w:r>
      <w:r w:rsidRPr="00256BA5">
        <w:rPr>
          <w:rFonts w:ascii="Times New Roman"/>
          <w:position w:val="-6"/>
        </w:rPr>
        <w:object w:dxaOrig="141" w:dyaOrig="263">
          <v:shape id="对象 79" o:spid="_x0000_i1040" type="#_x0000_t75" style="width:6.75pt;height:12.75pt" o:ole="">
            <v:imagedata r:id="rId39" o:title=""/>
          </v:shape>
          <o:OLEObject Type="Embed" ProgID="Equation.3" ShapeID="对象 79" DrawAspect="Content" ObjectID="_1536152725" r:id="rId40"/>
        </w:object>
      </w:r>
      <w:r w:rsidRPr="00256BA5">
        <w:rPr>
          <w:rFonts w:ascii="Times New Roman"/>
        </w:rPr>
        <w:t>个一级指标的权重，</w:t>
      </w:r>
      <w:r w:rsidRPr="00256BA5">
        <w:rPr>
          <w:rFonts w:ascii="Times New Roman"/>
          <w:position w:val="-14"/>
        </w:rPr>
        <w:object w:dxaOrig="323" w:dyaOrig="384">
          <v:shape id="对象 80" o:spid="_x0000_i1041" type="#_x0000_t75" style="width:15.75pt;height:18.75pt" o:ole="">
            <v:imagedata r:id="rId41" o:title=""/>
          </v:shape>
          <o:OLEObject Type="Embed" ProgID="Equation.3" ShapeID="对象 80" DrawAspect="Content" ObjectID="_1536152726" r:id="rId42"/>
        </w:object>
      </w:r>
      <w:r w:rsidRPr="00256BA5">
        <w:rPr>
          <w:rFonts w:ascii="Times New Roman"/>
        </w:rPr>
        <w:t>为第</w:t>
      </w:r>
      <w:r w:rsidRPr="00256BA5">
        <w:rPr>
          <w:rFonts w:ascii="Times New Roman"/>
          <w:position w:val="-6"/>
        </w:rPr>
        <w:object w:dxaOrig="141" w:dyaOrig="263">
          <v:shape id="对象 81" o:spid="_x0000_i1042" type="#_x0000_t75" style="width:6.75pt;height:12.75pt" o:ole="">
            <v:imagedata r:id="rId39" o:title=""/>
          </v:shape>
          <o:OLEObject Type="Embed" ProgID="Equation.3" ShapeID="对象 81" DrawAspect="Content" ObjectID="_1536152727" r:id="rId43"/>
        </w:object>
      </w:r>
      <w:r w:rsidRPr="00256BA5">
        <w:rPr>
          <w:rFonts w:ascii="Times New Roman"/>
        </w:rPr>
        <w:t>个一级指标下的第</w:t>
      </w:r>
      <w:r w:rsidRPr="00256BA5">
        <w:rPr>
          <w:rFonts w:ascii="Times New Roman"/>
          <w:position w:val="-10"/>
        </w:rPr>
        <w:object w:dxaOrig="202" w:dyaOrig="304">
          <v:shape id="对象 82" o:spid="_x0000_i1043" type="#_x0000_t75" style="width:9.75pt;height:15pt" o:ole="">
            <v:imagedata r:id="rId44" o:title=""/>
          </v:shape>
          <o:OLEObject Type="Embed" ProgID="Equation.3" ShapeID="对象 82" DrawAspect="Content" ObjectID="_1536152728" r:id="rId45"/>
        </w:object>
      </w:r>
      <w:r w:rsidRPr="00256BA5">
        <w:rPr>
          <w:rFonts w:ascii="Times New Roman"/>
        </w:rPr>
        <w:t>个二级指标的权重，其中</w:t>
      </w:r>
      <w:r w:rsidRPr="00256BA5">
        <w:rPr>
          <w:rFonts w:ascii="Times New Roman"/>
          <w:position w:val="-28"/>
        </w:rPr>
        <w:object w:dxaOrig="923" w:dyaOrig="682">
          <v:shape id="对象 83" o:spid="_x0000_i1044" type="#_x0000_t75" style="width:45.75pt;height:33.75pt" o:ole="">
            <v:imagedata r:id="rId46" o:title=""/>
          </v:shape>
          <o:OLEObject Type="Embed" ProgID="Equation.3" ShapeID="对象 83" DrawAspect="Content" ObjectID="_1536152729" r:id="rId47"/>
        </w:object>
      </w:r>
      <w:r w:rsidRPr="00256BA5">
        <w:rPr>
          <w:rFonts w:ascii="Times New Roman"/>
        </w:rPr>
        <w:t>，</w:t>
      </w:r>
      <w:r w:rsidRPr="00256BA5">
        <w:rPr>
          <w:rFonts w:ascii="Times New Roman"/>
          <w:position w:val="-30"/>
        </w:rPr>
        <w:object w:dxaOrig="959" w:dyaOrig="719">
          <v:shape id="对象 84" o:spid="_x0000_i1045" type="#_x0000_t75" style="width:48pt;height:36pt" o:ole="">
            <v:imagedata r:id="rId48" o:title=""/>
          </v:shape>
          <o:OLEObject Type="Embed" ProgID="Equation.3" ShapeID="对象 84" DrawAspect="Content" ObjectID="_1536152730" r:id="rId49"/>
        </w:object>
      </w:r>
      <w:r w:rsidRPr="00256BA5">
        <w:rPr>
          <w:rFonts w:ascii="Times New Roman"/>
        </w:rPr>
        <w:t>，</w:t>
      </w:r>
      <w:r w:rsidRPr="00256BA5">
        <w:rPr>
          <w:rFonts w:ascii="Times New Roman"/>
          <w:position w:val="-6"/>
        </w:rPr>
        <w:object w:dxaOrig="263" w:dyaOrig="223">
          <v:shape id="对象 85" o:spid="_x0000_i1046" type="#_x0000_t75" style="width:12.75pt;height:11.25pt" o:ole="">
            <v:imagedata r:id="rId50" o:title=""/>
          </v:shape>
          <o:OLEObject Type="Embed" ProgID="Equation.3" ShapeID="对象 85" DrawAspect="Content" ObjectID="_1536152731" r:id="rId51"/>
        </w:object>
      </w:r>
      <w:r w:rsidRPr="00256BA5">
        <w:rPr>
          <w:rFonts w:ascii="Times New Roman"/>
        </w:rPr>
        <w:t>为一级指标的个数；</w:t>
      </w:r>
    </w:p>
    <w:p w:rsidR="00792820" w:rsidRPr="00256BA5" w:rsidRDefault="00792820" w:rsidP="000274D0">
      <w:pPr>
        <w:pStyle w:val="af1"/>
        <w:adjustRightInd w:val="0"/>
        <w:snapToGrid w:val="0"/>
        <w:spacing w:line="300" w:lineRule="auto"/>
        <w:rPr>
          <w:rFonts w:ascii="Times New Roman"/>
        </w:rPr>
      </w:pPr>
      <w:r w:rsidRPr="00256BA5">
        <w:rPr>
          <w:rFonts w:ascii="Times New Roman"/>
          <w:position w:val="-12"/>
        </w:rPr>
        <w:object w:dxaOrig="242" w:dyaOrig="364">
          <v:shape id="对象 86" o:spid="_x0000_i1047" type="#_x0000_t75" style="width:12pt;height:18pt" o:ole="">
            <v:imagedata r:id="rId52" o:title=""/>
          </v:shape>
          <o:OLEObject Type="Embed" ProgID="Equation.3" ShapeID="对象 86" DrawAspect="Content" ObjectID="_1536152732" r:id="rId53"/>
        </w:object>
      </w:r>
      <w:r w:rsidRPr="00256BA5">
        <w:rPr>
          <w:rFonts w:ascii="Times New Roman"/>
        </w:rPr>
        <w:t>为</w:t>
      </w:r>
      <w:r w:rsidRPr="00256BA5">
        <w:rPr>
          <w:rFonts w:ascii="Times New Roman"/>
          <w:spacing w:val="-20"/>
          <w:kern w:val="18"/>
          <w:sz w:val="18"/>
        </w:rPr>
        <w:t>—</w:t>
      </w:r>
      <w:r w:rsidRPr="00256BA5">
        <w:rPr>
          <w:rFonts w:ascii="Times New Roman"/>
          <w:kern w:val="18"/>
          <w:sz w:val="18"/>
        </w:rPr>
        <w:t>—</w:t>
      </w:r>
      <w:r w:rsidRPr="00256BA5">
        <w:rPr>
          <w:rFonts w:ascii="Times New Roman"/>
        </w:rPr>
        <w:t>第</w:t>
      </w:r>
      <w:r w:rsidRPr="00256BA5">
        <w:rPr>
          <w:rFonts w:ascii="Times New Roman"/>
          <w:position w:val="-6"/>
        </w:rPr>
        <w:object w:dxaOrig="141" w:dyaOrig="263">
          <v:shape id="对象 87" o:spid="_x0000_i1048" type="#_x0000_t75" style="width:6.75pt;height:12.75pt" o:ole="">
            <v:imagedata r:id="rId39" o:title=""/>
          </v:shape>
          <o:OLEObject Type="Embed" ProgID="Equation.3" ShapeID="对象 87" DrawAspect="Content" ObjectID="_1536152733" r:id="rId54"/>
        </w:object>
      </w:r>
      <w:r w:rsidRPr="00256BA5">
        <w:rPr>
          <w:rFonts w:ascii="Times New Roman"/>
        </w:rPr>
        <w:t>个一级指标下二级指标的个数。</w:t>
      </w:r>
    </w:p>
    <w:p w:rsidR="00792820" w:rsidRPr="00792820" w:rsidRDefault="00792820" w:rsidP="000274D0">
      <w:pPr>
        <w:pStyle w:val="af1"/>
        <w:adjustRightInd w:val="0"/>
        <w:snapToGrid w:val="0"/>
        <w:spacing w:line="300" w:lineRule="auto"/>
        <w:rPr>
          <w:rFonts w:ascii="Times New Roman"/>
        </w:rPr>
      </w:pPr>
      <w:r w:rsidRPr="00256BA5">
        <w:rPr>
          <w:rFonts w:ascii="Times New Roman"/>
          <w:position w:val="-12"/>
        </w:rPr>
        <w:object w:dxaOrig="344" w:dyaOrig="385">
          <v:shape id="对象 88" o:spid="_x0000_i1049" type="#_x0000_t75" style="width:17.25pt;height:18.75pt" o:ole="">
            <v:imagedata r:id="rId55" o:title=""/>
          </v:shape>
          <o:OLEObject Type="Embed" ProgID="Equation.3" ShapeID="对象 88" DrawAspect="Content" ObjectID="_1536152734" r:id="rId56"/>
        </w:object>
      </w:r>
      <w:r w:rsidRPr="00256BA5">
        <w:rPr>
          <w:rFonts w:ascii="Times New Roman"/>
          <w:spacing w:val="-20"/>
          <w:kern w:val="18"/>
          <w:sz w:val="18"/>
        </w:rPr>
        <w:t>—</w:t>
      </w:r>
      <w:r w:rsidRPr="00256BA5">
        <w:rPr>
          <w:rFonts w:ascii="Times New Roman"/>
          <w:kern w:val="18"/>
          <w:sz w:val="18"/>
        </w:rPr>
        <w:t>—</w:t>
      </w:r>
      <w:r w:rsidRPr="00256BA5">
        <w:rPr>
          <w:rFonts w:ascii="Times New Roman"/>
        </w:rPr>
        <w:t>等同于</w:t>
      </w:r>
      <w:r w:rsidRPr="00256BA5">
        <w:rPr>
          <w:rFonts w:ascii="Times New Roman"/>
          <w:position w:val="-12"/>
        </w:rPr>
        <w:object w:dxaOrig="304" w:dyaOrig="365">
          <v:shape id="对象 89" o:spid="_x0000_i1050" type="#_x0000_t75" style="width:15pt;height:18pt" o:ole="">
            <v:imagedata r:id="rId57" o:title=""/>
          </v:shape>
          <o:OLEObject Type="Embed" ProgID="Equation.3" ShapeID="对象 89" DrawAspect="Content" ObjectID="_1536152735" r:id="rId58"/>
        </w:object>
      </w:r>
      <w:r w:rsidRPr="00256BA5">
        <w:rPr>
          <w:rFonts w:ascii="Times New Roman"/>
        </w:rPr>
        <w:t>，</w:t>
      </w:r>
      <w:r w:rsidRPr="00256BA5">
        <w:rPr>
          <w:rFonts w:ascii="Times New Roman"/>
          <w:position w:val="-14"/>
        </w:rPr>
        <w:object w:dxaOrig="424" w:dyaOrig="384">
          <v:shape id="对象 90" o:spid="_x0000_i1051" type="#_x0000_t75" style="width:21pt;height:18.75pt" o:ole="">
            <v:imagedata r:id="rId59" o:title=""/>
          </v:shape>
          <o:OLEObject Type="Embed" ProgID="Equation.3" ShapeID="对象 90" DrawAspect="Content" ObjectID="_1536152736" r:id="rId60"/>
        </w:object>
      </w:r>
      <w:r w:rsidRPr="00256BA5">
        <w:rPr>
          <w:rFonts w:ascii="Times New Roman"/>
        </w:rPr>
        <w:t>等同于</w:t>
      </w:r>
      <w:r w:rsidRPr="00256BA5">
        <w:rPr>
          <w:rFonts w:ascii="Times New Roman"/>
          <w:position w:val="-12"/>
        </w:rPr>
        <w:object w:dxaOrig="344" w:dyaOrig="364">
          <v:shape id="对象 91" o:spid="_x0000_i1052" type="#_x0000_t75" style="width:16.5pt;height:18pt" o:ole="">
            <v:imagedata r:id="rId61" o:title=""/>
          </v:shape>
          <o:OLEObject Type="Embed" ProgID="Equation.3" ShapeID="对象 91" DrawAspect="Content" ObjectID="_1536152737" r:id="rId62"/>
        </w:object>
      </w:r>
      <w:r w:rsidRPr="00256BA5">
        <w:rPr>
          <w:rFonts w:ascii="Times New Roman"/>
        </w:rPr>
        <w:t>，</w:t>
      </w:r>
      <w:r w:rsidRPr="00256BA5">
        <w:rPr>
          <w:rFonts w:ascii="Times New Roman"/>
          <w:position w:val="-14"/>
        </w:rPr>
        <w:object w:dxaOrig="404" w:dyaOrig="384">
          <v:shape id="对象 92" o:spid="_x0000_i1053" type="#_x0000_t75" style="width:20.25pt;height:18.75pt" o:ole="">
            <v:imagedata r:id="rId63" o:title=""/>
          </v:shape>
          <o:OLEObject Type="Embed" ProgID="Equation.3" ShapeID="对象 92" DrawAspect="Content" ObjectID="_1536152738" r:id="rId64"/>
        </w:object>
      </w:r>
      <w:r w:rsidRPr="00256BA5">
        <w:rPr>
          <w:rFonts w:ascii="Times New Roman"/>
        </w:rPr>
        <w:t>等同于</w:t>
      </w:r>
      <w:r w:rsidRPr="00256BA5">
        <w:rPr>
          <w:rFonts w:ascii="Times New Roman"/>
          <w:position w:val="-12"/>
        </w:rPr>
        <w:object w:dxaOrig="384" w:dyaOrig="364">
          <v:shape id="对象 93" o:spid="_x0000_i1054" type="#_x0000_t75" style="width:18.75pt;height:18pt" o:ole="">
            <v:imagedata r:id="rId65" o:title=""/>
          </v:shape>
          <o:OLEObject Type="Embed" ProgID="Equation.3" ShapeID="对象 93" DrawAspect="Content" ObjectID="_1536152739" r:id="rId66"/>
        </w:object>
      </w:r>
      <w:r w:rsidRPr="00256BA5">
        <w:rPr>
          <w:rFonts w:ascii="Times New Roman"/>
        </w:rPr>
        <w:t>。</w:t>
      </w:r>
    </w:p>
    <w:p w:rsidR="00A216E8" w:rsidRPr="00792820" w:rsidRDefault="00A216E8" w:rsidP="009133F1">
      <w:pPr>
        <w:pStyle w:val="3"/>
        <w:adjustRightInd w:val="0"/>
        <w:snapToGrid w:val="0"/>
        <w:spacing w:beforeLines="50" w:afterLines="50" w:line="300" w:lineRule="auto"/>
        <w:rPr>
          <w:rFonts w:eastAsia="黑体"/>
          <w:b w:val="0"/>
          <w:sz w:val="21"/>
          <w:szCs w:val="21"/>
        </w:rPr>
      </w:pPr>
      <w:r w:rsidRPr="00792820">
        <w:rPr>
          <w:rFonts w:eastAsia="黑体"/>
          <w:b w:val="0"/>
          <w:sz w:val="21"/>
          <w:szCs w:val="21"/>
        </w:rPr>
        <w:t xml:space="preserve">5.3 </w:t>
      </w:r>
      <w:r w:rsidRPr="00792820">
        <w:rPr>
          <w:rFonts w:eastAsia="黑体"/>
          <w:b w:val="0"/>
          <w:sz w:val="21"/>
          <w:szCs w:val="21"/>
        </w:rPr>
        <w:t>化学原料药行业清洁生产企业的评定</w:t>
      </w:r>
    </w:p>
    <w:p w:rsidR="00A216E8" w:rsidRPr="00E23FD8" w:rsidRDefault="00A216E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sidRPr="00E23FD8">
        <w:rPr>
          <w:rFonts w:ascii="Times New Roman" w:eastAsiaTheme="minorEastAsia" w:hAnsi="Times New Roman"/>
          <w:kern w:val="0"/>
          <w:szCs w:val="21"/>
        </w:rPr>
        <w:t>本标准采用限定性指标评价和指标分级加权评价相结合的方法。在限定性指标达到</w:t>
      </w:r>
      <w:r w:rsidRPr="00E23FD8">
        <w:rPr>
          <w:rFonts w:ascii="宋体" w:hAnsi="宋体" w:cs="宋体" w:hint="eastAsia"/>
          <w:kern w:val="0"/>
          <w:szCs w:val="21"/>
        </w:rPr>
        <w:t>Ⅲ</w:t>
      </w:r>
      <w:r w:rsidRPr="00E23FD8">
        <w:rPr>
          <w:rFonts w:ascii="Times New Roman" w:eastAsiaTheme="minorEastAsia" w:hAnsi="Times New Roman"/>
          <w:kern w:val="0"/>
          <w:szCs w:val="21"/>
        </w:rPr>
        <w:t>级水平的基础上，采用指标分级加权评价方法，计算行业清洁生产综合评价指数。根据综合评价指数，确定清洁生产水平等级。</w:t>
      </w:r>
    </w:p>
    <w:p w:rsidR="00A216E8" w:rsidRPr="00E23FD8" w:rsidRDefault="00A216E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sidRPr="00E23FD8">
        <w:rPr>
          <w:rFonts w:ascii="Times New Roman" w:eastAsiaTheme="minorEastAsia" w:hAnsi="Times New Roman"/>
          <w:kern w:val="0"/>
          <w:szCs w:val="21"/>
        </w:rPr>
        <w:t>对化学原料药企业清洁生产水平的评价，是以其清洁生产综合评价指数为依据的，对达到一定综合评价指数的企业，分别评定为清洁生产领先企业、清洁生产先进企业或清洁生产基本水平企业。</w:t>
      </w:r>
    </w:p>
    <w:p w:rsidR="00A216E8" w:rsidRPr="00E23FD8" w:rsidRDefault="00A216E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sidRPr="00E23FD8">
        <w:rPr>
          <w:rFonts w:ascii="Times New Roman" w:eastAsiaTheme="minorEastAsia" w:hAnsi="Times New Roman"/>
          <w:kern w:val="0"/>
          <w:szCs w:val="21"/>
        </w:rPr>
        <w:t>根据目前我国化学原料药行业的实际情况，不同等级的清洁生产企业的综合评价指数列于表</w:t>
      </w:r>
      <w:r w:rsidRPr="00E23FD8">
        <w:rPr>
          <w:rFonts w:ascii="Times New Roman" w:eastAsiaTheme="minorEastAsia" w:hAnsi="Times New Roman"/>
          <w:kern w:val="0"/>
          <w:szCs w:val="21"/>
        </w:rPr>
        <w:t>4</w:t>
      </w:r>
      <w:r w:rsidRPr="00E23FD8">
        <w:rPr>
          <w:rFonts w:ascii="Times New Roman" w:eastAsiaTheme="minorEastAsia" w:hAnsi="Times New Roman"/>
          <w:kern w:val="0"/>
          <w:szCs w:val="21"/>
        </w:rPr>
        <w:t>。</w:t>
      </w:r>
    </w:p>
    <w:p w:rsidR="00633F39" w:rsidRPr="00E23FD8" w:rsidRDefault="00633F39"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5.</w:t>
      </w:r>
      <w:r w:rsidR="00CC20A2" w:rsidRPr="00E23FD8">
        <w:rPr>
          <w:rFonts w:ascii="Times New Roman" w:eastAsia="黑体" w:hAnsi="Times New Roman"/>
          <w:b w:val="0"/>
          <w:bCs w:val="0"/>
          <w:kern w:val="0"/>
          <w:sz w:val="21"/>
          <w:szCs w:val="21"/>
        </w:rPr>
        <w:t>4</w:t>
      </w:r>
      <w:r w:rsidRPr="00E23FD8">
        <w:rPr>
          <w:rFonts w:ascii="Times New Roman" w:eastAsia="黑体" w:hAnsi="Times New Roman"/>
          <w:b w:val="0"/>
          <w:bCs w:val="0"/>
          <w:kern w:val="0"/>
          <w:sz w:val="21"/>
          <w:szCs w:val="21"/>
        </w:rPr>
        <w:t>综合评价指数计算步骤</w:t>
      </w:r>
    </w:p>
    <w:p w:rsidR="00633F39" w:rsidRPr="00345486" w:rsidRDefault="00633F39" w:rsidP="000274D0">
      <w:pPr>
        <w:pStyle w:val="ad"/>
        <w:adjustRightInd w:val="0"/>
        <w:snapToGrid w:val="0"/>
        <w:spacing w:line="300" w:lineRule="auto"/>
        <w:rPr>
          <w:rFonts w:eastAsiaTheme="minorEastAsia"/>
          <w:szCs w:val="21"/>
        </w:rPr>
      </w:pPr>
      <w:r w:rsidRPr="00345486">
        <w:rPr>
          <w:rFonts w:eastAsiaTheme="minorEastAsia"/>
          <w:szCs w:val="21"/>
        </w:rPr>
        <w:t>第一步：将新建企业或新建项目、现有企业相关指标与</w:t>
      </w:r>
      <w:r w:rsidRPr="00345486">
        <w:rPr>
          <w:rFonts w:ascii="宋体" w:hAnsi="宋体" w:cs="宋体" w:hint="eastAsia"/>
          <w:szCs w:val="21"/>
        </w:rPr>
        <w:t>Ⅰ</w:t>
      </w:r>
      <w:r w:rsidRPr="00345486">
        <w:rPr>
          <w:rFonts w:eastAsiaTheme="minorEastAsia"/>
          <w:szCs w:val="21"/>
        </w:rPr>
        <w:t>级限定性指标进行对比，全部符合要求后，再将企业相关指标与</w:t>
      </w:r>
      <w:r w:rsidR="00141D59" w:rsidRPr="00345486">
        <w:rPr>
          <w:rFonts w:ascii="宋体" w:hAnsi="宋体" w:cs="宋体" w:hint="eastAsia"/>
          <w:szCs w:val="21"/>
        </w:rPr>
        <w:t>Ⅰ</w:t>
      </w:r>
      <w:r w:rsidRPr="00345486">
        <w:rPr>
          <w:rFonts w:eastAsiaTheme="minorEastAsia"/>
          <w:szCs w:val="21"/>
        </w:rPr>
        <w:t>级基准值进行逐项对比，计算综合评价指数得分</w:t>
      </w:r>
      <w:r w:rsidR="004A61A5" w:rsidRPr="00345486">
        <w:rPr>
          <w:rFonts w:eastAsiaTheme="minorEastAsia"/>
          <w:noProof/>
          <w:position w:val="-8"/>
        </w:rPr>
        <w:t>Y</w:t>
      </w:r>
      <w:r w:rsidR="00141D59" w:rsidRPr="00345486">
        <w:rPr>
          <w:rFonts w:ascii="宋体" w:hAnsi="宋体" w:cs="宋体" w:hint="eastAsia"/>
          <w:noProof/>
          <w:position w:val="-8"/>
          <w:vertAlign w:val="subscript"/>
        </w:rPr>
        <w:t>Ⅰ</w:t>
      </w:r>
      <w:r w:rsidRPr="00345486">
        <w:rPr>
          <w:rFonts w:eastAsiaTheme="minorEastAsia"/>
          <w:szCs w:val="21"/>
        </w:rPr>
        <w:t>，当综合指数得分</w:t>
      </w:r>
      <w:r w:rsidR="00141D59" w:rsidRPr="00345486">
        <w:rPr>
          <w:rFonts w:eastAsiaTheme="minorEastAsia"/>
          <w:noProof/>
          <w:position w:val="-8"/>
        </w:rPr>
        <w:t>Y</w:t>
      </w:r>
      <w:r w:rsidR="00141D59" w:rsidRPr="00345486">
        <w:rPr>
          <w:rFonts w:ascii="宋体" w:hAnsi="宋体" w:cs="宋体" w:hint="eastAsia"/>
          <w:noProof/>
          <w:position w:val="-8"/>
          <w:vertAlign w:val="subscript"/>
        </w:rPr>
        <w:t>Ⅰ</w:t>
      </w:r>
      <w:r w:rsidRPr="00345486">
        <w:rPr>
          <w:rFonts w:eastAsiaTheme="minorEastAsia"/>
          <w:szCs w:val="21"/>
        </w:rPr>
        <w:t xml:space="preserve">≥ </w:t>
      </w:r>
      <w:r w:rsidR="000274D0" w:rsidRPr="00345486">
        <w:rPr>
          <w:rFonts w:eastAsiaTheme="minorEastAsia"/>
          <w:szCs w:val="21"/>
        </w:rPr>
        <w:t>85</w:t>
      </w:r>
      <w:r w:rsidRPr="00345486">
        <w:rPr>
          <w:rFonts w:eastAsiaTheme="minorEastAsia"/>
          <w:szCs w:val="21"/>
        </w:rPr>
        <w:t>分时，可判定企业清洁生产水平为</w:t>
      </w:r>
      <w:r w:rsidRPr="00345486">
        <w:rPr>
          <w:rFonts w:ascii="宋体" w:hAnsi="宋体" w:cs="宋体" w:hint="eastAsia"/>
          <w:szCs w:val="21"/>
        </w:rPr>
        <w:t>Ⅰ</w:t>
      </w:r>
      <w:r w:rsidRPr="00345486">
        <w:rPr>
          <w:rFonts w:eastAsiaTheme="minorEastAsia"/>
          <w:szCs w:val="21"/>
        </w:rPr>
        <w:t>级。当企业相关指标不满足</w:t>
      </w:r>
      <w:r w:rsidRPr="00345486">
        <w:rPr>
          <w:rFonts w:ascii="宋体" w:hAnsi="宋体" w:cs="宋体" w:hint="eastAsia"/>
          <w:szCs w:val="21"/>
        </w:rPr>
        <w:t>Ⅰ</w:t>
      </w:r>
      <w:r w:rsidRPr="00345486">
        <w:rPr>
          <w:rFonts w:eastAsiaTheme="minorEastAsia"/>
          <w:szCs w:val="21"/>
        </w:rPr>
        <w:t>级限定性指标要求或综合指数得分</w:t>
      </w:r>
      <w:r w:rsidR="00141D59" w:rsidRPr="00345486">
        <w:rPr>
          <w:rFonts w:eastAsiaTheme="minorEastAsia"/>
          <w:noProof/>
          <w:position w:val="-8"/>
        </w:rPr>
        <w:t>Y</w:t>
      </w:r>
      <w:r w:rsidR="00141D59" w:rsidRPr="00345486">
        <w:rPr>
          <w:rFonts w:ascii="宋体" w:hAnsi="宋体" w:cs="宋体" w:hint="eastAsia"/>
          <w:noProof/>
          <w:position w:val="-8"/>
          <w:vertAlign w:val="subscript"/>
        </w:rPr>
        <w:t>Ⅰ</w:t>
      </w:r>
      <w:r w:rsidRPr="00345486">
        <w:rPr>
          <w:rFonts w:eastAsiaTheme="minorEastAsia"/>
          <w:szCs w:val="21"/>
        </w:rPr>
        <w:t>＜</w:t>
      </w:r>
      <w:r w:rsidRPr="00345486">
        <w:rPr>
          <w:rFonts w:eastAsiaTheme="minorEastAsia"/>
          <w:szCs w:val="21"/>
        </w:rPr>
        <w:t>85</w:t>
      </w:r>
      <w:r w:rsidRPr="00345486">
        <w:rPr>
          <w:rFonts w:eastAsiaTheme="minorEastAsia"/>
          <w:szCs w:val="21"/>
        </w:rPr>
        <w:t>分时，则进入第</w:t>
      </w:r>
      <w:r w:rsidRPr="00345486">
        <w:rPr>
          <w:rFonts w:eastAsiaTheme="minorEastAsia"/>
          <w:szCs w:val="21"/>
        </w:rPr>
        <w:t>2</w:t>
      </w:r>
      <w:r w:rsidRPr="00345486">
        <w:rPr>
          <w:rFonts w:eastAsiaTheme="minorEastAsia"/>
          <w:szCs w:val="21"/>
        </w:rPr>
        <w:t>步计算。</w:t>
      </w:r>
    </w:p>
    <w:p w:rsidR="00633F39" w:rsidRPr="00345486" w:rsidRDefault="00633F39" w:rsidP="000274D0">
      <w:pPr>
        <w:pStyle w:val="ad"/>
        <w:adjustRightInd w:val="0"/>
        <w:snapToGrid w:val="0"/>
        <w:spacing w:line="300" w:lineRule="auto"/>
        <w:rPr>
          <w:rFonts w:eastAsiaTheme="minorEastAsia"/>
          <w:szCs w:val="21"/>
        </w:rPr>
      </w:pPr>
      <w:r w:rsidRPr="00345486">
        <w:rPr>
          <w:rFonts w:eastAsiaTheme="minorEastAsia"/>
          <w:szCs w:val="21"/>
        </w:rPr>
        <w:t>第二步：将新建企业或新建项目、现有企业相关指标与</w:t>
      </w:r>
      <w:r w:rsidR="00141D59" w:rsidRPr="00345486">
        <w:rPr>
          <w:rFonts w:ascii="宋体" w:hAnsi="宋体" w:cs="宋体" w:hint="eastAsia"/>
          <w:szCs w:val="21"/>
        </w:rPr>
        <w:t>Ⅱ</w:t>
      </w:r>
      <w:r w:rsidRPr="00345486">
        <w:rPr>
          <w:rFonts w:eastAsiaTheme="minorEastAsia"/>
          <w:szCs w:val="21"/>
        </w:rPr>
        <w:t>级限定性指标进行对比，全部符合要求后，再将企业相关指标与</w:t>
      </w:r>
      <w:r w:rsidRPr="00345486">
        <w:rPr>
          <w:rFonts w:ascii="宋体" w:hAnsi="宋体" w:cs="宋体" w:hint="eastAsia"/>
          <w:szCs w:val="21"/>
        </w:rPr>
        <w:t>Ⅱ</w:t>
      </w:r>
      <w:r w:rsidRPr="00345486">
        <w:rPr>
          <w:rFonts w:eastAsiaTheme="minorEastAsia"/>
          <w:szCs w:val="21"/>
        </w:rPr>
        <w:t>级基准值进行逐项对比，计算综合评价指数得分</w:t>
      </w:r>
      <w:r w:rsidR="00FF33A7" w:rsidRPr="00345486">
        <w:rPr>
          <w:rFonts w:eastAsiaTheme="minorEastAsia"/>
          <w:noProof/>
          <w:position w:val="-8"/>
        </w:rPr>
        <w:t>Y</w:t>
      </w:r>
      <w:r w:rsidR="00141D59" w:rsidRPr="00345486">
        <w:rPr>
          <w:rFonts w:ascii="宋体" w:hAnsi="宋体" w:cs="宋体" w:hint="eastAsia"/>
          <w:noProof/>
          <w:position w:val="-8"/>
          <w:vertAlign w:val="subscript"/>
        </w:rPr>
        <w:t>Ⅱ</w:t>
      </w:r>
      <w:r w:rsidRPr="00345486">
        <w:rPr>
          <w:rFonts w:eastAsiaTheme="minorEastAsia"/>
          <w:szCs w:val="21"/>
        </w:rPr>
        <w:t>，当综合指数得分</w:t>
      </w:r>
      <w:r w:rsidR="00DA6F02" w:rsidRPr="00345486">
        <w:rPr>
          <w:rFonts w:eastAsiaTheme="minorEastAsia"/>
          <w:noProof/>
          <w:position w:val="-8"/>
        </w:rPr>
        <w:t>Y</w:t>
      </w:r>
      <w:r w:rsidR="00DA6F02" w:rsidRPr="00345486">
        <w:rPr>
          <w:rFonts w:ascii="宋体" w:hAnsi="宋体" w:cs="宋体" w:hint="eastAsia"/>
          <w:noProof/>
          <w:position w:val="-8"/>
          <w:vertAlign w:val="subscript"/>
        </w:rPr>
        <w:t>Ⅱ</w:t>
      </w:r>
      <w:r w:rsidRPr="00345486">
        <w:rPr>
          <w:rFonts w:eastAsiaTheme="minorEastAsia"/>
          <w:szCs w:val="21"/>
        </w:rPr>
        <w:t>≥</w:t>
      </w:r>
      <w:r w:rsidR="000274D0" w:rsidRPr="00345486">
        <w:rPr>
          <w:rFonts w:eastAsiaTheme="minorEastAsia"/>
          <w:szCs w:val="21"/>
        </w:rPr>
        <w:t>85</w:t>
      </w:r>
      <w:r w:rsidRPr="00345486">
        <w:rPr>
          <w:rFonts w:eastAsiaTheme="minorEastAsia"/>
          <w:szCs w:val="21"/>
        </w:rPr>
        <w:t>当综分时，可判定企业清洁生产水平为</w:t>
      </w:r>
      <w:r w:rsidRPr="00345486">
        <w:rPr>
          <w:rFonts w:ascii="宋体" w:hAnsi="宋体" w:cs="宋体" w:hint="eastAsia"/>
          <w:szCs w:val="21"/>
        </w:rPr>
        <w:t>Ⅱ</w:t>
      </w:r>
      <w:r w:rsidRPr="00345486">
        <w:rPr>
          <w:rFonts w:eastAsiaTheme="minorEastAsia"/>
          <w:szCs w:val="21"/>
        </w:rPr>
        <w:t>级。当企业相关指标不满足</w:t>
      </w:r>
      <w:r w:rsidRPr="00345486">
        <w:rPr>
          <w:rFonts w:ascii="宋体" w:hAnsi="宋体" w:cs="宋体" w:hint="eastAsia"/>
          <w:szCs w:val="21"/>
        </w:rPr>
        <w:t>Ⅱ</w:t>
      </w:r>
      <w:r w:rsidRPr="00345486">
        <w:rPr>
          <w:rFonts w:eastAsiaTheme="minorEastAsia"/>
          <w:szCs w:val="21"/>
        </w:rPr>
        <w:t>级限定性指标要求或</w:t>
      </w:r>
      <w:r w:rsidRPr="00345486">
        <w:rPr>
          <w:rFonts w:eastAsiaTheme="minorEastAsia"/>
          <w:szCs w:val="21"/>
        </w:rPr>
        <w:lastRenderedPageBreak/>
        <w:t>综合指数得分</w:t>
      </w:r>
      <w:r w:rsidR="00141D59" w:rsidRPr="00345486">
        <w:rPr>
          <w:rFonts w:eastAsiaTheme="minorEastAsia"/>
          <w:noProof/>
          <w:position w:val="-8"/>
        </w:rPr>
        <w:t>Y</w:t>
      </w:r>
      <w:r w:rsidR="00141D59" w:rsidRPr="00345486">
        <w:rPr>
          <w:rFonts w:ascii="宋体" w:hAnsi="宋体" w:cs="宋体" w:hint="eastAsia"/>
          <w:noProof/>
          <w:position w:val="-8"/>
          <w:vertAlign w:val="subscript"/>
        </w:rPr>
        <w:t>Ⅱ</w:t>
      </w:r>
      <w:r w:rsidRPr="00345486">
        <w:rPr>
          <w:rFonts w:eastAsiaTheme="minorEastAsia"/>
          <w:szCs w:val="21"/>
        </w:rPr>
        <w:t>＜</w:t>
      </w:r>
      <w:r w:rsidRPr="00345486">
        <w:rPr>
          <w:rFonts w:eastAsiaTheme="minorEastAsia"/>
          <w:szCs w:val="21"/>
        </w:rPr>
        <w:t>85</w:t>
      </w:r>
      <w:r w:rsidRPr="00345486">
        <w:rPr>
          <w:rFonts w:eastAsiaTheme="minorEastAsia"/>
          <w:szCs w:val="21"/>
        </w:rPr>
        <w:t>分时，则进入第</w:t>
      </w:r>
      <w:r w:rsidRPr="00345486">
        <w:rPr>
          <w:rFonts w:eastAsiaTheme="minorEastAsia"/>
          <w:szCs w:val="21"/>
        </w:rPr>
        <w:t>3</w:t>
      </w:r>
      <w:r w:rsidRPr="00345486">
        <w:rPr>
          <w:rFonts w:eastAsiaTheme="minorEastAsia"/>
          <w:szCs w:val="21"/>
        </w:rPr>
        <w:t>步计算。</w:t>
      </w:r>
    </w:p>
    <w:p w:rsidR="00633F39" w:rsidRPr="00345486" w:rsidRDefault="00633F39" w:rsidP="000274D0">
      <w:pPr>
        <w:pStyle w:val="ad"/>
        <w:adjustRightInd w:val="0"/>
        <w:snapToGrid w:val="0"/>
        <w:spacing w:line="300" w:lineRule="auto"/>
        <w:rPr>
          <w:rFonts w:eastAsiaTheme="minorEastAsia"/>
          <w:szCs w:val="21"/>
        </w:rPr>
      </w:pPr>
      <w:r w:rsidRPr="00345486">
        <w:rPr>
          <w:rFonts w:eastAsiaTheme="minorEastAsia"/>
          <w:szCs w:val="21"/>
        </w:rPr>
        <w:t>新建企业或新建项目不再参与第</w:t>
      </w:r>
      <w:r w:rsidRPr="00345486">
        <w:rPr>
          <w:rFonts w:eastAsiaTheme="minorEastAsia"/>
          <w:szCs w:val="21"/>
        </w:rPr>
        <w:t>3</w:t>
      </w:r>
      <w:r w:rsidRPr="00345486">
        <w:rPr>
          <w:rFonts w:eastAsiaTheme="minorEastAsia"/>
          <w:szCs w:val="21"/>
        </w:rPr>
        <w:t>步计算。</w:t>
      </w:r>
    </w:p>
    <w:p w:rsidR="00633F39" w:rsidRPr="00345486" w:rsidRDefault="00633F39" w:rsidP="000274D0">
      <w:pPr>
        <w:autoSpaceDE w:val="0"/>
        <w:autoSpaceDN w:val="0"/>
        <w:adjustRightInd w:val="0"/>
        <w:snapToGrid w:val="0"/>
        <w:spacing w:line="300" w:lineRule="auto"/>
        <w:ind w:firstLineChars="200" w:firstLine="420"/>
        <w:rPr>
          <w:rFonts w:ascii="Times New Roman" w:eastAsiaTheme="minorEastAsia" w:hAnsi="Times New Roman"/>
          <w:kern w:val="0"/>
          <w:sz w:val="24"/>
          <w:szCs w:val="24"/>
        </w:rPr>
      </w:pPr>
      <w:r w:rsidRPr="00345486">
        <w:rPr>
          <w:rFonts w:ascii="Times New Roman" w:eastAsiaTheme="minorEastAsia" w:hAnsi="Times New Roman"/>
          <w:szCs w:val="21"/>
        </w:rPr>
        <w:t>第三步：将现有企业相关指标与</w:t>
      </w:r>
      <w:r w:rsidRPr="00345486">
        <w:rPr>
          <w:rFonts w:ascii="宋体" w:hAnsi="宋体" w:cs="宋体" w:hint="eastAsia"/>
          <w:szCs w:val="21"/>
        </w:rPr>
        <w:t>Ⅲ</w:t>
      </w:r>
      <w:r w:rsidRPr="00345486">
        <w:rPr>
          <w:rFonts w:ascii="Times New Roman" w:eastAsiaTheme="minorEastAsia" w:hAnsi="Times New Roman"/>
          <w:szCs w:val="21"/>
        </w:rPr>
        <w:t>级限定性指标基准值进行对比，全部符合要求后，再将企业相关指标与</w:t>
      </w:r>
      <w:r w:rsidRPr="00345486">
        <w:rPr>
          <w:rFonts w:ascii="宋体" w:hAnsi="宋体" w:cs="宋体" w:hint="eastAsia"/>
          <w:szCs w:val="21"/>
        </w:rPr>
        <w:t>Ⅲ</w:t>
      </w:r>
      <w:r w:rsidRPr="00345486">
        <w:rPr>
          <w:rFonts w:ascii="Times New Roman" w:eastAsiaTheme="minorEastAsia" w:hAnsi="Times New Roman"/>
          <w:szCs w:val="21"/>
        </w:rPr>
        <w:t>级基准值进行逐项对比，计算综合指数得分</w:t>
      </w:r>
      <w:r w:rsidR="00141D59" w:rsidRPr="00345486">
        <w:rPr>
          <w:rFonts w:ascii="Times New Roman" w:eastAsiaTheme="minorEastAsia" w:hAnsi="Times New Roman"/>
          <w:noProof/>
          <w:position w:val="-8"/>
        </w:rPr>
        <w:t>Y</w:t>
      </w:r>
      <w:r w:rsidR="00141D59" w:rsidRPr="00345486">
        <w:rPr>
          <w:rFonts w:ascii="宋体" w:hAnsi="宋体" w:cs="宋体" w:hint="eastAsia"/>
          <w:noProof/>
          <w:position w:val="-8"/>
          <w:vertAlign w:val="subscript"/>
        </w:rPr>
        <w:t>Ⅲ</w:t>
      </w:r>
      <w:r w:rsidRPr="00345486">
        <w:rPr>
          <w:rFonts w:ascii="Times New Roman" w:eastAsiaTheme="minorEastAsia" w:hAnsi="Times New Roman"/>
          <w:szCs w:val="21"/>
        </w:rPr>
        <w:t>，当综合指数得分</w:t>
      </w:r>
      <w:r w:rsidR="00141D59" w:rsidRPr="00345486">
        <w:rPr>
          <w:rFonts w:ascii="Times New Roman" w:eastAsiaTheme="minorEastAsia" w:hAnsi="Times New Roman"/>
          <w:noProof/>
          <w:position w:val="-8"/>
        </w:rPr>
        <w:t>Y</w:t>
      </w:r>
      <w:r w:rsidR="00141D59" w:rsidRPr="00345486">
        <w:rPr>
          <w:rFonts w:ascii="宋体" w:hAnsi="宋体" w:cs="宋体" w:hint="eastAsia"/>
          <w:noProof/>
          <w:position w:val="-8"/>
          <w:vertAlign w:val="subscript"/>
        </w:rPr>
        <w:t>Ⅲ</w:t>
      </w:r>
      <w:r w:rsidRPr="00345486">
        <w:rPr>
          <w:rFonts w:ascii="Times New Roman" w:eastAsiaTheme="minorEastAsia" w:hAnsi="Times New Roman"/>
          <w:szCs w:val="21"/>
        </w:rPr>
        <w:t>=100</w:t>
      </w:r>
      <w:r w:rsidRPr="00345486">
        <w:rPr>
          <w:rFonts w:ascii="Times New Roman" w:eastAsiaTheme="minorEastAsia" w:hAnsi="Times New Roman"/>
          <w:szCs w:val="21"/>
        </w:rPr>
        <w:t>分时，可判定企业清洁生产水平为</w:t>
      </w:r>
      <w:r w:rsidRPr="00345486">
        <w:rPr>
          <w:rFonts w:ascii="宋体" w:hAnsi="宋体" w:cs="宋体" w:hint="eastAsia"/>
          <w:szCs w:val="21"/>
        </w:rPr>
        <w:t>Ⅲ</w:t>
      </w:r>
      <w:r w:rsidRPr="00345486">
        <w:rPr>
          <w:rFonts w:ascii="Times New Roman" w:eastAsiaTheme="minorEastAsia" w:hAnsi="Times New Roman"/>
          <w:szCs w:val="21"/>
        </w:rPr>
        <w:t>级。当企业相关指标不满足</w:t>
      </w:r>
      <w:r w:rsidRPr="00345486">
        <w:rPr>
          <w:rFonts w:ascii="宋体" w:hAnsi="宋体" w:cs="宋体" w:hint="eastAsia"/>
          <w:szCs w:val="21"/>
        </w:rPr>
        <w:t>Ⅲ</w:t>
      </w:r>
      <w:r w:rsidRPr="00345486">
        <w:rPr>
          <w:rFonts w:ascii="Times New Roman" w:eastAsiaTheme="minorEastAsia" w:hAnsi="Times New Roman"/>
          <w:szCs w:val="21"/>
        </w:rPr>
        <w:t>级限定性指标要求或综合指数得分</w:t>
      </w:r>
      <w:r w:rsidR="00141D59" w:rsidRPr="00345486">
        <w:rPr>
          <w:rFonts w:ascii="Times New Roman" w:eastAsiaTheme="minorEastAsia" w:hAnsi="Times New Roman"/>
          <w:noProof/>
          <w:position w:val="-8"/>
        </w:rPr>
        <w:t>Y</w:t>
      </w:r>
      <w:r w:rsidR="00141D59" w:rsidRPr="00345486">
        <w:rPr>
          <w:rFonts w:ascii="宋体" w:hAnsi="宋体" w:cs="宋体" w:hint="eastAsia"/>
          <w:noProof/>
          <w:position w:val="-8"/>
          <w:vertAlign w:val="subscript"/>
        </w:rPr>
        <w:t>Ⅲ</w:t>
      </w:r>
      <w:r w:rsidR="00B30BDC" w:rsidRPr="00345486">
        <w:rPr>
          <w:rFonts w:ascii="Times New Roman" w:eastAsiaTheme="minorEastAsia" w:hAnsi="Times New Roman"/>
          <w:szCs w:val="21"/>
        </w:rPr>
        <w:fldChar w:fldCharType="begin"/>
      </w:r>
      <w:r w:rsidRPr="00345486">
        <w:rPr>
          <w:rFonts w:ascii="Times New Roman" w:eastAsiaTheme="minorEastAsia" w:hAnsi="Times New Roman"/>
          <w:szCs w:val="21"/>
        </w:rPr>
        <w:instrText xml:space="preserve"> QUOTE </w:instrText>
      </w:r>
      <w:r w:rsidRPr="00345486">
        <w:rPr>
          <w:rFonts w:ascii="Times New Roman" w:eastAsiaTheme="minorEastAsia" w:hAnsi="Times New Roman"/>
          <w:noProof/>
          <w:position w:val="-8"/>
        </w:rPr>
        <w:drawing>
          <wp:inline distT="0" distB="0" distL="0" distR="0">
            <wp:extent cx="171450" cy="2000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00025"/>
                    </a:xfrm>
                    <a:prstGeom prst="rect">
                      <a:avLst/>
                    </a:prstGeom>
                    <a:noFill/>
                    <a:ln>
                      <a:noFill/>
                    </a:ln>
                  </pic:spPr>
                </pic:pic>
              </a:graphicData>
            </a:graphic>
          </wp:inline>
        </w:drawing>
      </w:r>
      <w:r w:rsidRPr="00345486">
        <w:rPr>
          <w:rFonts w:ascii="Times New Roman" w:eastAsiaTheme="minorEastAsia" w:hAnsi="Times New Roman"/>
          <w:szCs w:val="21"/>
        </w:rPr>
        <w:instrText xml:space="preserve">  \* MERGEFORMAT </w:instrText>
      </w:r>
      <w:r w:rsidR="00B30BDC" w:rsidRPr="00345486">
        <w:rPr>
          <w:rFonts w:ascii="Times New Roman" w:eastAsiaTheme="minorEastAsia" w:hAnsi="Times New Roman"/>
          <w:szCs w:val="21"/>
        </w:rPr>
        <w:fldChar w:fldCharType="separate"/>
      </w:r>
      <w:r w:rsidR="00B30BDC" w:rsidRPr="00345486">
        <w:rPr>
          <w:rFonts w:ascii="Times New Roman" w:eastAsiaTheme="minorEastAsia" w:hAnsi="Times New Roman"/>
          <w:szCs w:val="21"/>
        </w:rPr>
        <w:fldChar w:fldCharType="begin"/>
      </w:r>
      <w:r w:rsidRPr="00345486">
        <w:rPr>
          <w:rFonts w:ascii="Times New Roman" w:eastAsiaTheme="minorEastAsia" w:hAnsi="Times New Roman"/>
          <w:szCs w:val="21"/>
        </w:rPr>
        <w:instrText xml:space="preserve"> QUOTE </w:instrText>
      </w:r>
      <w:r w:rsidRPr="00345486">
        <w:rPr>
          <w:rFonts w:ascii="Times New Roman" w:eastAsiaTheme="minorEastAsia" w:hAnsi="Times New Roman"/>
          <w:noProof/>
          <w:position w:val="-8"/>
        </w:rPr>
        <w:drawing>
          <wp:inline distT="0" distB="0" distL="0" distR="0">
            <wp:extent cx="171450" cy="2000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00025"/>
                    </a:xfrm>
                    <a:prstGeom prst="rect">
                      <a:avLst/>
                    </a:prstGeom>
                    <a:noFill/>
                    <a:ln>
                      <a:noFill/>
                    </a:ln>
                  </pic:spPr>
                </pic:pic>
              </a:graphicData>
            </a:graphic>
          </wp:inline>
        </w:drawing>
      </w:r>
      <w:r w:rsidR="00B30BDC" w:rsidRPr="00345486">
        <w:rPr>
          <w:rFonts w:ascii="Times New Roman" w:eastAsiaTheme="minorEastAsia" w:hAnsi="Times New Roman"/>
          <w:szCs w:val="21"/>
        </w:rPr>
        <w:fldChar w:fldCharType="separate"/>
      </w:r>
      <w:r w:rsidR="00B30BDC" w:rsidRPr="00345486">
        <w:rPr>
          <w:rFonts w:ascii="Times New Roman" w:eastAsiaTheme="minorEastAsia" w:hAnsi="Times New Roman"/>
          <w:szCs w:val="21"/>
        </w:rPr>
        <w:fldChar w:fldCharType="begin"/>
      </w:r>
      <w:r w:rsidRPr="00345486">
        <w:rPr>
          <w:rFonts w:ascii="Times New Roman" w:eastAsiaTheme="minorEastAsia" w:hAnsi="Times New Roman"/>
          <w:szCs w:val="21"/>
        </w:rPr>
        <w:instrText xml:space="preserve"> QUOTE </w:instrText>
      </w:r>
      <w:r w:rsidRPr="00345486">
        <w:rPr>
          <w:rFonts w:ascii="Times New Roman" w:eastAsiaTheme="minorEastAsia" w:hAnsi="Times New Roman"/>
          <w:noProof/>
          <w:position w:val="-8"/>
        </w:rPr>
        <w:drawing>
          <wp:inline distT="0" distB="0" distL="0" distR="0">
            <wp:extent cx="171450" cy="2000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00025"/>
                    </a:xfrm>
                    <a:prstGeom prst="rect">
                      <a:avLst/>
                    </a:prstGeom>
                    <a:noFill/>
                    <a:ln>
                      <a:noFill/>
                    </a:ln>
                  </pic:spPr>
                </pic:pic>
              </a:graphicData>
            </a:graphic>
          </wp:inline>
        </w:drawing>
      </w:r>
      <w:r w:rsidR="00B30BDC" w:rsidRPr="00345486">
        <w:rPr>
          <w:rFonts w:ascii="Times New Roman" w:eastAsiaTheme="minorEastAsia" w:hAnsi="Times New Roman"/>
          <w:szCs w:val="21"/>
        </w:rPr>
        <w:fldChar w:fldCharType="end"/>
      </w:r>
      <w:r w:rsidR="00B30BDC" w:rsidRPr="00345486">
        <w:rPr>
          <w:rFonts w:ascii="Times New Roman" w:eastAsiaTheme="minorEastAsia" w:hAnsi="Times New Roman"/>
          <w:szCs w:val="21"/>
        </w:rPr>
        <w:fldChar w:fldCharType="end"/>
      </w:r>
      <w:r w:rsidR="00B30BDC" w:rsidRPr="00345486">
        <w:rPr>
          <w:rFonts w:ascii="Times New Roman" w:eastAsiaTheme="minorEastAsia" w:hAnsi="Times New Roman"/>
          <w:szCs w:val="21"/>
        </w:rPr>
        <w:fldChar w:fldCharType="end"/>
      </w:r>
      <w:r w:rsidRPr="00345486">
        <w:rPr>
          <w:rFonts w:ascii="Times New Roman" w:eastAsiaTheme="minorEastAsia" w:hAnsi="Times New Roman"/>
          <w:szCs w:val="21"/>
        </w:rPr>
        <w:t>＜</w:t>
      </w:r>
      <w:r w:rsidRPr="00345486">
        <w:rPr>
          <w:rFonts w:ascii="Times New Roman" w:eastAsiaTheme="minorEastAsia" w:hAnsi="Times New Roman"/>
          <w:szCs w:val="21"/>
        </w:rPr>
        <w:t>100</w:t>
      </w:r>
      <w:r w:rsidRPr="00345486">
        <w:rPr>
          <w:rFonts w:ascii="Times New Roman" w:eastAsiaTheme="minorEastAsia" w:hAnsi="Times New Roman"/>
          <w:szCs w:val="21"/>
        </w:rPr>
        <w:t>分时，表明企业未达到清洁生产要求。</w:t>
      </w:r>
      <w:bookmarkStart w:id="28" w:name="_GoBack"/>
      <w:bookmarkEnd w:id="28"/>
    </w:p>
    <w:p w:rsidR="00A216E8" w:rsidRPr="00E23FD8" w:rsidRDefault="00A216E8" w:rsidP="000274D0">
      <w:pPr>
        <w:adjustRightInd w:val="0"/>
        <w:snapToGrid w:val="0"/>
        <w:spacing w:line="300" w:lineRule="auto"/>
        <w:jc w:val="center"/>
        <w:rPr>
          <w:rFonts w:ascii="Times New Roman" w:eastAsia="黑体" w:hAnsi="Times New Roman"/>
          <w:szCs w:val="21"/>
        </w:rPr>
      </w:pPr>
      <w:r w:rsidRPr="00E23FD8">
        <w:rPr>
          <w:rFonts w:ascii="Times New Roman" w:eastAsia="黑体" w:hAnsi="Times New Roman"/>
          <w:szCs w:val="21"/>
        </w:rPr>
        <w:t>表</w:t>
      </w:r>
      <w:r w:rsidRPr="00E23FD8">
        <w:rPr>
          <w:rFonts w:ascii="Times New Roman" w:eastAsia="黑体" w:hAnsi="Times New Roman"/>
          <w:szCs w:val="21"/>
        </w:rPr>
        <w:t>4</w:t>
      </w:r>
      <w:r w:rsidRPr="00E23FD8">
        <w:rPr>
          <w:rFonts w:ascii="Times New Roman" w:eastAsia="黑体" w:hAnsi="Times New Roman"/>
          <w:szCs w:val="21"/>
        </w:rPr>
        <w:t>化学原料药行业不同等级清洁生产企业综合评价指数</w:t>
      </w:r>
    </w:p>
    <w:tbl>
      <w:tblPr>
        <w:tblW w:w="5000" w:type="pct"/>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4A0"/>
      </w:tblPr>
      <w:tblGrid>
        <w:gridCol w:w="3510"/>
        <w:gridCol w:w="5776"/>
      </w:tblGrid>
      <w:tr w:rsidR="00A216E8" w:rsidRPr="00E23FD8" w:rsidTr="005D1B45">
        <w:tc>
          <w:tcPr>
            <w:tcW w:w="1890" w:type="pct"/>
            <w:hideMark/>
          </w:tcPr>
          <w:p w:rsidR="00A216E8" w:rsidRPr="00E23FD8" w:rsidRDefault="00A216E8" w:rsidP="000274D0">
            <w:pPr>
              <w:autoSpaceDE w:val="0"/>
              <w:autoSpaceDN w:val="0"/>
              <w:adjustRightInd w:val="0"/>
              <w:snapToGrid w:val="0"/>
              <w:spacing w:line="300" w:lineRule="auto"/>
              <w:jc w:val="center"/>
              <w:rPr>
                <w:rFonts w:ascii="Times New Roman" w:eastAsiaTheme="minorEastAsia" w:hAnsi="Times New Roman"/>
                <w:b/>
                <w:kern w:val="0"/>
                <w:sz w:val="18"/>
                <w:szCs w:val="18"/>
              </w:rPr>
            </w:pPr>
            <w:r w:rsidRPr="00E23FD8">
              <w:rPr>
                <w:rFonts w:ascii="Times New Roman" w:eastAsiaTheme="minorEastAsia" w:hAnsi="Times New Roman"/>
                <w:b/>
                <w:kern w:val="0"/>
                <w:sz w:val="18"/>
                <w:szCs w:val="18"/>
              </w:rPr>
              <w:t>企业清洁生产水平</w:t>
            </w:r>
          </w:p>
        </w:tc>
        <w:tc>
          <w:tcPr>
            <w:tcW w:w="3110" w:type="pct"/>
            <w:hideMark/>
          </w:tcPr>
          <w:p w:rsidR="00A216E8" w:rsidRPr="00E23FD8" w:rsidRDefault="00A216E8" w:rsidP="000274D0">
            <w:pPr>
              <w:autoSpaceDE w:val="0"/>
              <w:autoSpaceDN w:val="0"/>
              <w:adjustRightInd w:val="0"/>
              <w:snapToGrid w:val="0"/>
              <w:spacing w:line="300" w:lineRule="auto"/>
              <w:jc w:val="center"/>
              <w:rPr>
                <w:rFonts w:ascii="Times New Roman" w:eastAsiaTheme="minorEastAsia" w:hAnsi="Times New Roman"/>
                <w:b/>
                <w:kern w:val="0"/>
                <w:sz w:val="18"/>
                <w:szCs w:val="18"/>
              </w:rPr>
            </w:pPr>
            <w:r w:rsidRPr="00E23FD8">
              <w:rPr>
                <w:rFonts w:ascii="Times New Roman" w:eastAsiaTheme="minorEastAsia" w:hAnsi="Times New Roman"/>
                <w:b/>
                <w:kern w:val="0"/>
                <w:sz w:val="18"/>
                <w:szCs w:val="18"/>
              </w:rPr>
              <w:t>评定条件</w:t>
            </w:r>
          </w:p>
        </w:tc>
      </w:tr>
      <w:tr w:rsidR="00633F39" w:rsidRPr="00E23FD8" w:rsidTr="005D1B45">
        <w:tc>
          <w:tcPr>
            <w:tcW w:w="1890" w:type="pct"/>
            <w:vAlign w:val="center"/>
            <w:hideMark/>
          </w:tcPr>
          <w:p w:rsidR="00633F39" w:rsidRPr="00E23FD8" w:rsidRDefault="00633F39"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宋体" w:hAnsi="宋体" w:cs="宋体" w:hint="eastAsia"/>
                <w:sz w:val="18"/>
                <w:szCs w:val="18"/>
              </w:rPr>
              <w:t>Ⅰ</w:t>
            </w:r>
            <w:r w:rsidRPr="00E23FD8">
              <w:rPr>
                <w:rFonts w:ascii="Times New Roman" w:eastAsiaTheme="minorEastAsia" w:hAnsi="Times New Roman"/>
                <w:sz w:val="18"/>
                <w:szCs w:val="18"/>
              </w:rPr>
              <w:t>级（国际清洁生产领先水平）</w:t>
            </w:r>
          </w:p>
        </w:tc>
        <w:tc>
          <w:tcPr>
            <w:tcW w:w="3110" w:type="pct"/>
            <w:vAlign w:val="center"/>
            <w:hideMark/>
          </w:tcPr>
          <w:p w:rsidR="00633F39" w:rsidRPr="00E23FD8" w:rsidRDefault="00633F39" w:rsidP="000274D0">
            <w:pPr>
              <w:pStyle w:val="ae"/>
              <w:adjustRightInd w:val="0"/>
              <w:snapToGrid w:val="0"/>
              <w:spacing w:line="300" w:lineRule="auto"/>
              <w:ind w:left="833"/>
              <w:jc w:val="left"/>
              <w:rPr>
                <w:rFonts w:ascii="Times New Roman" w:eastAsiaTheme="minorEastAsia"/>
                <w:sz w:val="18"/>
                <w:szCs w:val="18"/>
              </w:rPr>
            </w:pPr>
            <w:r w:rsidRPr="00E23FD8">
              <w:rPr>
                <w:rFonts w:ascii="Times New Roman" w:eastAsiaTheme="minorEastAsia"/>
                <w:sz w:val="18"/>
                <w:szCs w:val="18"/>
              </w:rPr>
              <w:t>同时满足：</w:t>
            </w:r>
          </w:p>
          <w:p w:rsidR="00633F39" w:rsidRPr="00E23FD8" w:rsidRDefault="00633F39" w:rsidP="000274D0">
            <w:pPr>
              <w:pStyle w:val="ae"/>
              <w:adjustRightInd w:val="0"/>
              <w:snapToGrid w:val="0"/>
              <w:spacing w:line="300" w:lineRule="auto"/>
              <w:ind w:left="833"/>
              <w:jc w:val="left"/>
              <w:rPr>
                <w:rFonts w:ascii="Times New Roman" w:eastAsiaTheme="minorEastAsia"/>
                <w:sz w:val="18"/>
                <w:szCs w:val="18"/>
              </w:rPr>
            </w:pPr>
            <w:r w:rsidRPr="00E23FD8">
              <w:rPr>
                <w:rFonts w:ascii="Times New Roman" w:eastAsiaTheme="minorEastAsia"/>
                <w:position w:val="-10"/>
                <w:sz w:val="18"/>
                <w:szCs w:val="18"/>
              </w:rPr>
              <w:object w:dxaOrig="649" w:dyaOrig="304">
                <v:shape id="对象 19" o:spid="_x0000_i1055" type="#_x0000_t75" style="width:32.25pt;height:15pt;mso-position-horizontal-relative:page;mso-position-vertical-relative:page" o:ole="">
                  <v:imagedata r:id="rId69" o:title=""/>
                </v:shape>
                <o:OLEObject Type="Embed" ProgID="Equation.DSMT4" ShapeID="对象 19" DrawAspect="Content" ObjectID="_1536152740" r:id="rId70"/>
              </w:object>
            </w:r>
            <w:r w:rsidRPr="00E23FD8">
              <w:rPr>
                <w:rFonts w:ascii="Times New Roman" w:eastAsiaTheme="minorEastAsia"/>
                <w:sz w:val="18"/>
                <w:szCs w:val="18"/>
              </w:rPr>
              <w:t>；</w:t>
            </w:r>
          </w:p>
          <w:p w:rsidR="00633F39" w:rsidRPr="00E23FD8" w:rsidRDefault="00633F39" w:rsidP="000274D0">
            <w:pPr>
              <w:autoSpaceDE w:val="0"/>
              <w:autoSpaceDN w:val="0"/>
              <w:adjustRightInd w:val="0"/>
              <w:snapToGrid w:val="0"/>
              <w:spacing w:line="300" w:lineRule="auto"/>
              <w:ind w:firstLineChars="250" w:firstLine="450"/>
              <w:jc w:val="left"/>
              <w:rPr>
                <w:rFonts w:ascii="Times New Roman" w:eastAsiaTheme="minorEastAsia" w:hAnsi="Times New Roman"/>
                <w:kern w:val="0"/>
                <w:sz w:val="18"/>
                <w:szCs w:val="18"/>
              </w:rPr>
            </w:pPr>
            <w:r w:rsidRPr="00E23FD8">
              <w:rPr>
                <w:rFonts w:ascii="Times New Roman" w:eastAsiaTheme="minorEastAsia" w:hAnsi="Times New Roman"/>
                <w:sz w:val="18"/>
                <w:szCs w:val="18"/>
              </w:rPr>
              <w:t>限定性指标全部满足</w:t>
            </w:r>
            <w:r w:rsidRPr="00E23FD8">
              <w:rPr>
                <w:rFonts w:ascii="宋体" w:hAnsi="宋体" w:cs="宋体" w:hint="eastAsia"/>
                <w:sz w:val="18"/>
                <w:szCs w:val="18"/>
              </w:rPr>
              <w:t>Ⅰ</w:t>
            </w:r>
            <w:r w:rsidRPr="00E23FD8">
              <w:rPr>
                <w:rFonts w:ascii="Times New Roman" w:eastAsiaTheme="minorEastAsia" w:hAnsi="Times New Roman"/>
                <w:sz w:val="18"/>
                <w:szCs w:val="18"/>
              </w:rPr>
              <w:t>级基准值要求。</w:t>
            </w:r>
          </w:p>
        </w:tc>
      </w:tr>
      <w:tr w:rsidR="00633F39" w:rsidRPr="00E23FD8" w:rsidTr="005D1B45">
        <w:tc>
          <w:tcPr>
            <w:tcW w:w="1890" w:type="pct"/>
            <w:vAlign w:val="center"/>
            <w:hideMark/>
          </w:tcPr>
          <w:p w:rsidR="00633F39" w:rsidRPr="00E23FD8" w:rsidRDefault="00633F39"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宋体" w:hAnsi="宋体" w:cs="宋体" w:hint="eastAsia"/>
                <w:sz w:val="18"/>
                <w:szCs w:val="18"/>
              </w:rPr>
              <w:t>Ⅱ</w:t>
            </w:r>
            <w:r w:rsidRPr="00E23FD8">
              <w:rPr>
                <w:rFonts w:ascii="Times New Roman" w:eastAsiaTheme="minorEastAsia" w:hAnsi="Times New Roman"/>
                <w:sz w:val="18"/>
                <w:szCs w:val="18"/>
              </w:rPr>
              <w:t>级（国内清洁生产先进水平）</w:t>
            </w:r>
          </w:p>
        </w:tc>
        <w:tc>
          <w:tcPr>
            <w:tcW w:w="3110" w:type="pct"/>
            <w:vAlign w:val="center"/>
            <w:hideMark/>
          </w:tcPr>
          <w:p w:rsidR="00633F39" w:rsidRPr="00E23FD8" w:rsidRDefault="00633F39" w:rsidP="000274D0">
            <w:pPr>
              <w:pStyle w:val="ae"/>
              <w:adjustRightInd w:val="0"/>
              <w:snapToGrid w:val="0"/>
              <w:spacing w:line="300" w:lineRule="auto"/>
              <w:ind w:left="833"/>
              <w:jc w:val="left"/>
              <w:rPr>
                <w:rFonts w:ascii="Times New Roman" w:eastAsiaTheme="minorEastAsia"/>
                <w:sz w:val="18"/>
                <w:szCs w:val="18"/>
              </w:rPr>
            </w:pPr>
            <w:r w:rsidRPr="00E23FD8">
              <w:rPr>
                <w:rFonts w:ascii="Times New Roman" w:eastAsiaTheme="minorEastAsia"/>
                <w:sz w:val="18"/>
                <w:szCs w:val="18"/>
              </w:rPr>
              <w:t>同时满足：</w:t>
            </w:r>
          </w:p>
          <w:p w:rsidR="00633F39" w:rsidRPr="00E23FD8" w:rsidRDefault="00633F39" w:rsidP="000274D0">
            <w:pPr>
              <w:pStyle w:val="ae"/>
              <w:adjustRightInd w:val="0"/>
              <w:snapToGrid w:val="0"/>
              <w:spacing w:line="300" w:lineRule="auto"/>
              <w:jc w:val="left"/>
              <w:rPr>
                <w:rFonts w:ascii="Times New Roman" w:eastAsiaTheme="minorEastAsia"/>
                <w:sz w:val="18"/>
                <w:szCs w:val="18"/>
              </w:rPr>
            </w:pPr>
            <w:r w:rsidRPr="00E23FD8">
              <w:rPr>
                <w:rFonts w:ascii="Times New Roman" w:eastAsiaTheme="minorEastAsia"/>
                <w:position w:val="-10"/>
                <w:sz w:val="18"/>
                <w:szCs w:val="18"/>
              </w:rPr>
              <w:object w:dxaOrig="649" w:dyaOrig="304">
                <v:shape id="对象 20" o:spid="_x0000_i1056" type="#_x0000_t75" style="width:32.25pt;height:15pt;mso-position-horizontal-relative:page;mso-position-vertical-relative:page" o:ole="">
                  <v:imagedata r:id="rId71" o:title=""/>
                </v:shape>
                <o:OLEObject Type="Embed" ProgID="Equation.DSMT4" ShapeID="对象 20" DrawAspect="Content" ObjectID="_1536152741" r:id="rId72"/>
              </w:object>
            </w:r>
            <w:r w:rsidRPr="00E23FD8">
              <w:rPr>
                <w:rFonts w:ascii="Times New Roman" w:eastAsiaTheme="minorEastAsia"/>
                <w:sz w:val="18"/>
                <w:szCs w:val="18"/>
              </w:rPr>
              <w:t>；</w:t>
            </w:r>
          </w:p>
          <w:p w:rsidR="00633F39" w:rsidRPr="00E23FD8" w:rsidRDefault="00633F39" w:rsidP="000274D0">
            <w:pPr>
              <w:autoSpaceDE w:val="0"/>
              <w:autoSpaceDN w:val="0"/>
              <w:adjustRightInd w:val="0"/>
              <w:snapToGrid w:val="0"/>
              <w:spacing w:line="300" w:lineRule="auto"/>
              <w:ind w:firstLineChars="250" w:firstLine="450"/>
              <w:jc w:val="left"/>
              <w:rPr>
                <w:rFonts w:ascii="Times New Roman" w:eastAsiaTheme="minorEastAsia" w:hAnsi="Times New Roman"/>
                <w:kern w:val="0"/>
                <w:sz w:val="18"/>
                <w:szCs w:val="18"/>
              </w:rPr>
            </w:pPr>
            <w:r w:rsidRPr="00E23FD8">
              <w:rPr>
                <w:rFonts w:ascii="Times New Roman" w:eastAsiaTheme="minorEastAsia" w:hAnsi="Times New Roman"/>
                <w:sz w:val="18"/>
                <w:szCs w:val="18"/>
              </w:rPr>
              <w:t>限定性指标全部满足</w:t>
            </w:r>
            <w:r w:rsidRPr="00E23FD8">
              <w:rPr>
                <w:rFonts w:ascii="宋体" w:hAnsi="宋体" w:cs="宋体" w:hint="eastAsia"/>
                <w:sz w:val="18"/>
                <w:szCs w:val="18"/>
              </w:rPr>
              <w:t>Ⅱ</w:t>
            </w:r>
            <w:r w:rsidRPr="00E23FD8">
              <w:rPr>
                <w:rFonts w:ascii="Times New Roman" w:eastAsiaTheme="minorEastAsia" w:hAnsi="Times New Roman"/>
                <w:sz w:val="18"/>
                <w:szCs w:val="18"/>
              </w:rPr>
              <w:t>级基准值要求及以上。</w:t>
            </w:r>
          </w:p>
        </w:tc>
      </w:tr>
      <w:tr w:rsidR="00633F39" w:rsidRPr="00E23FD8" w:rsidTr="005D1B45">
        <w:tc>
          <w:tcPr>
            <w:tcW w:w="1890" w:type="pct"/>
            <w:vAlign w:val="center"/>
            <w:hideMark/>
          </w:tcPr>
          <w:p w:rsidR="00633F39" w:rsidRPr="00E23FD8" w:rsidRDefault="00633F39" w:rsidP="000274D0">
            <w:pPr>
              <w:autoSpaceDE w:val="0"/>
              <w:autoSpaceDN w:val="0"/>
              <w:adjustRightInd w:val="0"/>
              <w:snapToGrid w:val="0"/>
              <w:spacing w:line="300" w:lineRule="auto"/>
              <w:jc w:val="center"/>
              <w:rPr>
                <w:rFonts w:ascii="Times New Roman" w:eastAsiaTheme="minorEastAsia" w:hAnsi="Times New Roman"/>
                <w:kern w:val="0"/>
                <w:sz w:val="18"/>
                <w:szCs w:val="18"/>
              </w:rPr>
            </w:pPr>
            <w:r w:rsidRPr="00E23FD8">
              <w:rPr>
                <w:rFonts w:ascii="宋体" w:hAnsi="宋体" w:cs="宋体" w:hint="eastAsia"/>
                <w:sz w:val="18"/>
                <w:szCs w:val="18"/>
              </w:rPr>
              <w:t>Ⅲ</w:t>
            </w:r>
            <w:r w:rsidRPr="00E23FD8">
              <w:rPr>
                <w:rFonts w:ascii="Times New Roman" w:eastAsiaTheme="minorEastAsia" w:hAnsi="Times New Roman"/>
                <w:sz w:val="18"/>
                <w:szCs w:val="18"/>
              </w:rPr>
              <w:t>级（国内清洁生产一般水平）</w:t>
            </w:r>
          </w:p>
        </w:tc>
        <w:tc>
          <w:tcPr>
            <w:tcW w:w="3110" w:type="pct"/>
            <w:vAlign w:val="center"/>
            <w:hideMark/>
          </w:tcPr>
          <w:p w:rsidR="00633F39" w:rsidRPr="00E23FD8" w:rsidRDefault="00633F39" w:rsidP="000274D0">
            <w:pPr>
              <w:autoSpaceDE w:val="0"/>
              <w:autoSpaceDN w:val="0"/>
              <w:adjustRightInd w:val="0"/>
              <w:snapToGrid w:val="0"/>
              <w:spacing w:line="300" w:lineRule="auto"/>
              <w:ind w:firstLineChars="250" w:firstLine="450"/>
              <w:jc w:val="left"/>
              <w:rPr>
                <w:rFonts w:ascii="Times New Roman" w:eastAsiaTheme="minorEastAsia" w:hAnsi="Times New Roman"/>
                <w:kern w:val="0"/>
                <w:sz w:val="18"/>
                <w:szCs w:val="18"/>
              </w:rPr>
            </w:pPr>
            <w:r w:rsidRPr="00E23FD8">
              <w:rPr>
                <w:rFonts w:ascii="Times New Roman" w:eastAsiaTheme="minorEastAsia" w:hAnsi="Times New Roman"/>
                <w:sz w:val="18"/>
                <w:szCs w:val="18"/>
              </w:rPr>
              <w:t>满足</w:t>
            </w:r>
            <w:r w:rsidRPr="00E23FD8">
              <w:rPr>
                <w:rFonts w:ascii="Times New Roman" w:eastAsiaTheme="minorEastAsia" w:hAnsi="Times New Roman"/>
                <w:position w:val="-10"/>
                <w:sz w:val="18"/>
                <w:szCs w:val="18"/>
              </w:rPr>
              <w:object w:dxaOrig="767" w:dyaOrig="302">
                <v:shape id="对象 21" o:spid="_x0000_i1057" type="#_x0000_t75" style="width:39pt;height:15pt;mso-position-horizontal-relative:page;mso-position-vertical-relative:page" o:ole="">
                  <v:imagedata r:id="rId73" o:title=""/>
                </v:shape>
                <o:OLEObject Type="Embed" ProgID="Equation.DSMT4" ShapeID="对象 21" DrawAspect="Content" ObjectID="_1536152742" r:id="rId74"/>
              </w:object>
            </w:r>
            <w:r w:rsidRPr="00E23FD8">
              <w:rPr>
                <w:rFonts w:ascii="Times New Roman" w:eastAsiaTheme="minorEastAsia" w:hAnsi="Times New Roman"/>
                <w:sz w:val="18"/>
                <w:szCs w:val="18"/>
              </w:rPr>
              <w:t>。</w:t>
            </w:r>
          </w:p>
        </w:tc>
      </w:tr>
    </w:tbl>
    <w:p w:rsidR="00A216E8" w:rsidRPr="00E23FD8" w:rsidRDefault="00A216E8" w:rsidP="000274D0">
      <w:pPr>
        <w:adjustRightInd w:val="0"/>
        <w:snapToGrid w:val="0"/>
        <w:spacing w:line="300" w:lineRule="auto"/>
        <w:ind w:firstLineChars="200" w:firstLine="420"/>
        <w:rPr>
          <w:rFonts w:ascii="Times New Roman" w:eastAsiaTheme="minorEastAsia" w:hAnsi="Times New Roman"/>
          <w:kern w:val="0"/>
          <w:szCs w:val="21"/>
        </w:rPr>
      </w:pPr>
      <w:r w:rsidRPr="00E23FD8">
        <w:rPr>
          <w:rFonts w:ascii="Times New Roman" w:eastAsiaTheme="minorEastAsia" w:hAnsi="Times New Roman"/>
          <w:kern w:val="0"/>
          <w:szCs w:val="21"/>
        </w:rPr>
        <w:t>按照现行环境保护政策法规以及产业政策要求，凡参评企业被地方环保主管部</w:t>
      </w:r>
      <w:r w:rsidRPr="00E23FD8">
        <w:rPr>
          <w:rFonts w:ascii="Times New Roman" w:eastAsiaTheme="minorEastAsia" w:hAnsi="Times New Roman"/>
          <w:szCs w:val="21"/>
        </w:rPr>
        <w:t>门认定为主要污染物排放未</w:t>
      </w:r>
      <w:r w:rsidRPr="00E23FD8">
        <w:rPr>
          <w:rFonts w:ascii="Times New Roman" w:eastAsiaTheme="minorEastAsia" w:hAnsi="Times New Roman"/>
          <w:szCs w:val="21"/>
        </w:rPr>
        <w:t>“</w:t>
      </w:r>
      <w:r w:rsidRPr="00E23FD8">
        <w:rPr>
          <w:rFonts w:ascii="Times New Roman" w:eastAsiaTheme="minorEastAsia" w:hAnsi="Times New Roman"/>
          <w:szCs w:val="21"/>
        </w:rPr>
        <w:t>达标</w:t>
      </w:r>
      <w:r w:rsidRPr="00E23FD8">
        <w:rPr>
          <w:rFonts w:ascii="Times New Roman" w:eastAsiaTheme="minorEastAsia" w:hAnsi="Times New Roman"/>
          <w:szCs w:val="21"/>
        </w:rPr>
        <w:t>”</w:t>
      </w:r>
      <w:r w:rsidRPr="00E23FD8">
        <w:rPr>
          <w:rFonts w:ascii="Times New Roman" w:eastAsiaTheme="minorEastAsia" w:hAnsi="Times New Roman"/>
          <w:szCs w:val="21"/>
        </w:rPr>
        <w:t>（指总量未达到控制指标或主要污染物排放超标），生产淘汰类产品或仍继续采用要求淘汰的设备、工艺进行生产的，则该企业不能参与清洁生产企业评定。</w:t>
      </w:r>
    </w:p>
    <w:p w:rsidR="00A216E8" w:rsidRPr="00E23FD8" w:rsidRDefault="00A216E8" w:rsidP="009133F1">
      <w:pPr>
        <w:pStyle w:val="1"/>
        <w:adjustRightInd w:val="0"/>
        <w:snapToGrid w:val="0"/>
        <w:spacing w:beforeLines="100" w:afterLines="100" w:line="300" w:lineRule="auto"/>
        <w:rPr>
          <w:rFonts w:ascii="Times New Roman" w:eastAsia="黑体" w:hAnsi="Times New Roman"/>
          <w:b w:val="0"/>
          <w:bCs w:val="0"/>
          <w:kern w:val="2"/>
          <w:sz w:val="21"/>
          <w:szCs w:val="21"/>
        </w:rPr>
      </w:pPr>
      <w:bookmarkStart w:id="29" w:name="_Toc456896870"/>
      <w:bookmarkStart w:id="30" w:name="_Toc462389136"/>
      <w:r w:rsidRPr="00E23FD8">
        <w:rPr>
          <w:rFonts w:ascii="Times New Roman" w:eastAsia="黑体" w:hAnsi="Times New Roman"/>
          <w:b w:val="0"/>
          <w:bCs w:val="0"/>
          <w:kern w:val="2"/>
          <w:sz w:val="21"/>
          <w:szCs w:val="21"/>
        </w:rPr>
        <w:t xml:space="preserve">6 </w:t>
      </w:r>
      <w:r w:rsidRPr="00E23FD8">
        <w:rPr>
          <w:rFonts w:ascii="Times New Roman" w:eastAsia="黑体" w:hAnsi="Times New Roman"/>
          <w:b w:val="0"/>
          <w:bCs w:val="0"/>
          <w:kern w:val="2"/>
          <w:sz w:val="21"/>
          <w:szCs w:val="21"/>
        </w:rPr>
        <w:t>指标</w:t>
      </w:r>
      <w:r w:rsidR="00B9419D" w:rsidRPr="00E23FD8">
        <w:rPr>
          <w:rFonts w:ascii="Times New Roman" w:eastAsia="黑体" w:hAnsi="Times New Roman"/>
          <w:b w:val="0"/>
          <w:bCs w:val="0"/>
          <w:kern w:val="2"/>
          <w:sz w:val="21"/>
          <w:szCs w:val="21"/>
        </w:rPr>
        <w:t>核算</w:t>
      </w:r>
      <w:r w:rsidRPr="00E23FD8">
        <w:rPr>
          <w:rFonts w:ascii="Times New Roman" w:eastAsia="黑体" w:hAnsi="Times New Roman"/>
          <w:b w:val="0"/>
          <w:bCs w:val="0"/>
          <w:kern w:val="2"/>
          <w:sz w:val="21"/>
          <w:szCs w:val="21"/>
        </w:rPr>
        <w:t>与数据来源</w:t>
      </w:r>
      <w:bookmarkEnd w:id="29"/>
      <w:bookmarkEnd w:id="30"/>
    </w:p>
    <w:p w:rsidR="00D87B65" w:rsidRPr="00E23FD8" w:rsidRDefault="00D87B65" w:rsidP="009133F1">
      <w:pPr>
        <w:pStyle w:val="2"/>
        <w:adjustRightInd w:val="0"/>
        <w:snapToGrid w:val="0"/>
        <w:spacing w:beforeLines="50" w:afterLines="50" w:line="300" w:lineRule="auto"/>
        <w:rPr>
          <w:rFonts w:ascii="Times New Roman" w:eastAsia="黑体" w:hAnsi="Times New Roman"/>
          <w:b w:val="0"/>
          <w:bCs w:val="0"/>
          <w:kern w:val="0"/>
          <w:sz w:val="21"/>
          <w:szCs w:val="21"/>
        </w:rPr>
      </w:pPr>
      <w:r w:rsidRPr="00E23FD8">
        <w:rPr>
          <w:rFonts w:ascii="Times New Roman" w:eastAsia="黑体" w:hAnsi="Times New Roman"/>
          <w:b w:val="0"/>
          <w:bCs w:val="0"/>
          <w:kern w:val="0"/>
          <w:sz w:val="21"/>
          <w:szCs w:val="21"/>
        </w:rPr>
        <w:t xml:space="preserve">6.1 </w:t>
      </w:r>
      <w:r w:rsidRPr="00E23FD8">
        <w:rPr>
          <w:rFonts w:ascii="Times New Roman" w:eastAsia="黑体" w:hAnsi="Times New Roman"/>
          <w:b w:val="0"/>
          <w:bCs w:val="0"/>
          <w:kern w:val="0"/>
          <w:sz w:val="21"/>
          <w:szCs w:val="21"/>
        </w:rPr>
        <w:t>指标</w:t>
      </w:r>
      <w:r w:rsidR="005B619D" w:rsidRPr="00E23FD8">
        <w:rPr>
          <w:rFonts w:ascii="Times New Roman" w:eastAsia="黑体" w:hAnsi="Times New Roman"/>
          <w:b w:val="0"/>
          <w:bCs w:val="0"/>
          <w:kern w:val="0"/>
          <w:sz w:val="21"/>
          <w:szCs w:val="21"/>
        </w:rPr>
        <w:t>解释</w:t>
      </w:r>
    </w:p>
    <w:p w:rsidR="00E67998" w:rsidRDefault="00E67998" w:rsidP="000274D0">
      <w:pPr>
        <w:adjustRightInd w:val="0"/>
        <w:snapToGrid w:val="0"/>
        <w:spacing w:line="300" w:lineRule="auto"/>
        <w:rPr>
          <w:rFonts w:ascii="Times New Roman" w:eastAsia="黑体" w:hAnsi="Times New Roman"/>
          <w:szCs w:val="21"/>
        </w:rPr>
      </w:pPr>
      <w:r>
        <w:rPr>
          <w:rFonts w:ascii="Times New Roman" w:eastAsia="黑体" w:hAnsi="Times New Roman"/>
          <w:szCs w:val="21"/>
        </w:rPr>
        <w:t>6.1.1</w:t>
      </w:r>
      <w:r>
        <w:rPr>
          <w:rFonts w:ascii="Times New Roman" w:eastAsia="黑体" w:hAnsi="Times New Roman" w:hint="eastAsia"/>
          <w:szCs w:val="21"/>
        </w:rPr>
        <w:t>单位产品取水量</w:t>
      </w:r>
    </w:p>
    <w:p w:rsidR="00E67998" w:rsidRDefault="00E6799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Pr>
          <w:rFonts w:ascii="Times New Roman" w:eastAsiaTheme="minorEastAsia" w:hAnsi="Times New Roman" w:hint="eastAsia"/>
          <w:kern w:val="0"/>
          <w:szCs w:val="21"/>
        </w:rPr>
        <w:t>生产每吨原料药（</w:t>
      </w:r>
      <w:r>
        <w:rPr>
          <w:rFonts w:ascii="Times New Roman" w:eastAsiaTheme="minorEastAsia" w:hAnsi="Times New Roman" w:hint="eastAsia"/>
          <w:szCs w:val="21"/>
        </w:rPr>
        <w:t>符合制剂要求</w:t>
      </w:r>
      <w:r>
        <w:rPr>
          <w:rFonts w:ascii="Times New Roman" w:eastAsiaTheme="minorEastAsia" w:hAnsi="Times New Roman" w:hint="eastAsia"/>
          <w:kern w:val="0"/>
          <w:szCs w:val="21"/>
        </w:rPr>
        <w:t>）的取水量，包括原料处理、废水治理、综合利用等。计算方法如下：</w:t>
      </w:r>
    </w:p>
    <w:p w:rsidR="00E67998" w:rsidRDefault="00B30BDC" w:rsidP="000274D0">
      <w:pPr>
        <w:autoSpaceDE w:val="0"/>
        <w:autoSpaceDN w:val="0"/>
        <w:adjustRightInd w:val="0"/>
        <w:snapToGrid w:val="0"/>
        <w:spacing w:line="300" w:lineRule="auto"/>
        <w:jc w:val="center"/>
        <w:rPr>
          <w:rFonts w:ascii="Times New Roman" w:eastAsiaTheme="minorEastAsia" w:hAnsi="Times New Roman"/>
          <w:kern w:val="0"/>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V</m:t>
              </m:r>
            </m:e>
            <m:sub>
              <m:r>
                <m:rPr>
                  <m:sty m:val="p"/>
                </m:rPr>
                <w:rPr>
                  <w:rFonts w:ascii="Cambria Math" w:eastAsiaTheme="minorEastAsia" w:hAnsi="Times New Roman"/>
                  <w:kern w:val="0"/>
                  <w:szCs w:val="21"/>
                </w:rPr>
                <m:t>qs</m:t>
              </m:r>
            </m:sub>
          </m:sSub>
          <m:r>
            <w:rPr>
              <w:rFonts w:ascii="Cambria Math" w:eastAsiaTheme="minorEastAsia" w:hAnsi="Times New Roman"/>
              <w:kern w:val="0"/>
              <w:szCs w:val="21"/>
            </w:rPr>
            <m:t>=</m:t>
          </m:r>
          <m:f>
            <m:fPr>
              <m:ctrlPr>
                <w:rPr>
                  <w:rFonts w:ascii="Cambria Math" w:eastAsiaTheme="minorEastAsia" w:hAnsi="Times New Roman"/>
                  <w:i/>
                  <w:szCs w:val="21"/>
                </w:rPr>
              </m:ctrlPr>
            </m:fPr>
            <m:num>
              <m:sSub>
                <m:sSubPr>
                  <m:ctrlPr>
                    <w:rPr>
                      <w:rFonts w:ascii="Cambria Math" w:eastAsiaTheme="minorEastAsia" w:hAnsi="Times New Roman"/>
                      <w:i/>
                      <w:szCs w:val="21"/>
                    </w:rPr>
                  </m:ctrlPr>
                </m:sSubPr>
                <m:e>
                  <m:r>
                    <w:rPr>
                      <w:rFonts w:ascii="Cambria Math" w:eastAsiaTheme="minorEastAsia" w:hAnsi="Times New Roman"/>
                      <w:kern w:val="0"/>
                      <w:szCs w:val="21"/>
                    </w:rPr>
                    <m:t>V</m:t>
                  </m:r>
                </m:e>
                <m:sub>
                  <m:r>
                    <w:rPr>
                      <w:rFonts w:ascii="Cambria Math" w:eastAsiaTheme="minorEastAsia" w:hAnsi="Times New Roman"/>
                      <w:kern w:val="0"/>
                      <w:szCs w:val="21"/>
                    </w:rPr>
                    <m:t>1</m:t>
                  </m:r>
                </m:sub>
              </m:sSub>
            </m:num>
            <m:den>
              <m:r>
                <w:rPr>
                  <w:rFonts w:ascii="Cambria Math" w:eastAsiaTheme="minorEastAsia" w:hAnsi="Times New Roman"/>
                  <w:kern w:val="0"/>
                  <w:szCs w:val="21"/>
                </w:rPr>
                <m:t>G</m:t>
              </m:r>
            </m:den>
          </m:f>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V</m:t>
            </m:r>
          </m:e>
          <m:sub>
            <m:r>
              <w:rPr>
                <w:rFonts w:ascii="Cambria Math" w:eastAsiaTheme="minorEastAsia" w:hAnsi="Times New Roman" w:cs="Times New Roman"/>
                <w:szCs w:val="21"/>
              </w:rPr>
              <m:t>qs</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单位产品取水量，</w:t>
      </w:r>
      <m:oMath>
        <m:sSup>
          <m:sSupPr>
            <m:ctrlPr>
              <w:rPr>
                <w:rFonts w:ascii="Cambria Math" w:eastAsiaTheme="minorEastAsia" w:hAnsi="Times New Roman" w:cs="Times New Roman"/>
                <w:i/>
                <w:szCs w:val="21"/>
              </w:rPr>
            </m:ctrlPr>
          </m:sSupPr>
          <m:e>
            <m:r>
              <w:rPr>
                <w:rFonts w:ascii="Cambria Math" w:eastAsiaTheme="minorEastAsia" w:hAnsi="Times New Roman" w:cs="Times New Roman"/>
                <w:szCs w:val="21"/>
              </w:rPr>
              <m:t>m</m:t>
            </m:r>
          </m:e>
          <m:sup>
            <m:r>
              <w:rPr>
                <w:rFonts w:ascii="Cambria Math" w:eastAsiaTheme="minorEastAsia" w:hAnsi="Times New Roman" w:cs="Times New Roman"/>
                <w:szCs w:val="21"/>
              </w:rPr>
              <m:t>3</m:t>
            </m:r>
          </m:sup>
        </m:sSup>
      </m:oMath>
      <w:r w:rsidR="00E67998">
        <w:rPr>
          <w:rFonts w:ascii="Times New Roman" w:hAnsi="Times New Roman" w:cs="Times New Roman"/>
          <w:sz w:val="21"/>
          <w:szCs w:val="21"/>
        </w:rPr>
        <w:t>/t</w:t>
      </w:r>
    </w:p>
    <w:p w:rsidR="00E67998" w:rsidRDefault="00B30BDC" w:rsidP="000274D0">
      <w:pPr>
        <w:pStyle w:val="Default"/>
        <w:snapToGrid w:val="0"/>
        <w:spacing w:line="300" w:lineRule="auto"/>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 xml:space="preserve">          V</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全年生产原料药取水量总和，</w:t>
      </w:r>
      <m:oMath>
        <m:sSup>
          <m:sSupPr>
            <m:ctrlPr>
              <w:rPr>
                <w:rFonts w:ascii="Cambria Math" w:eastAsiaTheme="minorEastAsia" w:hAnsi="Times New Roman" w:cs="Times New Roman"/>
                <w:i/>
                <w:szCs w:val="21"/>
              </w:rPr>
            </m:ctrlPr>
          </m:sSupPr>
          <m:e>
            <m:r>
              <w:rPr>
                <w:rFonts w:ascii="Cambria Math" w:eastAsiaTheme="minorEastAsia" w:hAnsi="Times New Roman" w:cs="Times New Roman"/>
                <w:szCs w:val="21"/>
              </w:rPr>
              <m:t>m</m:t>
            </m:r>
          </m:e>
          <m:sup>
            <m:r>
              <w:rPr>
                <w:rFonts w:ascii="Cambria Math" w:eastAsiaTheme="minorEastAsia" w:hAnsi="Times New Roman" w:cs="Times New Roman"/>
                <w:szCs w:val="21"/>
              </w:rPr>
              <m:t>3</m:t>
            </m:r>
          </m:sup>
        </m:sSup>
      </m:oMath>
    </w:p>
    <w:p w:rsidR="00E67998" w:rsidRDefault="00E67998" w:rsidP="000274D0">
      <w:pPr>
        <w:pStyle w:val="Default"/>
        <w:snapToGrid w:val="0"/>
        <w:spacing w:line="300" w:lineRule="auto"/>
        <w:ind w:firstLineChars="200" w:firstLine="480"/>
        <w:jc w:val="both"/>
        <w:rPr>
          <w:rFonts w:ascii="Times New Roman" w:hAnsi="Times New Roman" w:cs="Times New Roman"/>
          <w:sz w:val="21"/>
          <w:szCs w:val="21"/>
        </w:rPr>
      </w:pPr>
      <w:r>
        <w:rPr>
          <w:rFonts w:ascii="Times New Roman" w:hAnsi="Times New Roman" w:cs="Times New Roman"/>
          <w:i/>
          <w:szCs w:val="21"/>
        </w:rPr>
        <w:t>G</w:t>
      </w:r>
      <w:r>
        <w:rPr>
          <w:rFonts w:ascii="Times New Roman" w:hAnsi="Times New Roman" w:cs="Times New Roman"/>
          <w:sz w:val="21"/>
          <w:szCs w:val="21"/>
        </w:rPr>
        <w:t>——</w:t>
      </w:r>
      <w:r>
        <w:rPr>
          <w:rFonts w:ascii="Times New Roman" w:hAnsi="Times New Roman" w:cs="Times New Roman" w:hint="eastAsia"/>
          <w:sz w:val="21"/>
          <w:szCs w:val="21"/>
        </w:rPr>
        <w:t>全年原料药产量，</w:t>
      </w:r>
      <w:r>
        <w:rPr>
          <w:rFonts w:ascii="Times New Roman" w:hAnsi="Times New Roman" w:cs="Times New Roman"/>
          <w:sz w:val="21"/>
          <w:szCs w:val="21"/>
        </w:rPr>
        <w:t>t</w:t>
      </w:r>
    </w:p>
    <w:p w:rsidR="00E67998" w:rsidRDefault="00E67998" w:rsidP="000274D0">
      <w:pPr>
        <w:autoSpaceDE w:val="0"/>
        <w:autoSpaceDN w:val="0"/>
        <w:adjustRightInd w:val="0"/>
        <w:snapToGrid w:val="0"/>
        <w:spacing w:line="300" w:lineRule="auto"/>
        <w:jc w:val="center"/>
        <w:rPr>
          <w:rFonts w:ascii="Times New Roman" w:eastAsiaTheme="minorEastAsia" w:hAnsi="Times New Roman"/>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kern w:val="0"/>
          <w:szCs w:val="21"/>
        </w:rPr>
        <w:t>6.1.2</w:t>
      </w:r>
      <w:r>
        <w:rPr>
          <w:rFonts w:ascii="Times New Roman" w:eastAsia="黑体" w:hAnsi="Times New Roman" w:hint="eastAsia"/>
          <w:kern w:val="0"/>
          <w:szCs w:val="21"/>
        </w:rPr>
        <w:t>单位产品</w:t>
      </w:r>
      <w:r>
        <w:rPr>
          <w:rFonts w:ascii="Times New Roman" w:eastAsia="黑体" w:hAnsi="Times New Roman" w:hint="eastAsia"/>
          <w:szCs w:val="21"/>
        </w:rPr>
        <w:t>综合能耗</w:t>
      </w:r>
    </w:p>
    <w:p w:rsidR="00E67998" w:rsidRDefault="00E6799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Pr>
          <w:rFonts w:ascii="Times New Roman" w:eastAsiaTheme="minorEastAsia" w:hAnsi="Times New Roman" w:hint="eastAsia"/>
          <w:kern w:val="0"/>
          <w:szCs w:val="21"/>
        </w:rPr>
        <w:t>综合能耗是企业在计划统计期内，对实际消耗的各种能源实物量按规定的计算方法和单位分别折算为一次能源后的总和。综合能耗主要包括一次能源（如煤、石油、天然气等）、二次能源（如蒸汽、电力等）和直接用于生产的能耗工质（如冷却水、压缩空气等），但不包括用于动力消耗（如发电、锅炉等）的能耗工质。具体综合能耗按照当量热值，即每千瓦时按</w:t>
      </w:r>
      <w:r>
        <w:rPr>
          <w:rFonts w:ascii="Times New Roman" w:eastAsiaTheme="minorEastAsia" w:hAnsi="Times New Roman"/>
          <w:kern w:val="0"/>
          <w:szCs w:val="21"/>
        </w:rPr>
        <w:t>3596</w:t>
      </w:r>
      <w:r>
        <w:rPr>
          <w:rFonts w:ascii="Times New Roman" w:eastAsiaTheme="minorEastAsia" w:hAnsi="Times New Roman" w:hint="eastAsia"/>
          <w:kern w:val="0"/>
          <w:szCs w:val="21"/>
        </w:rPr>
        <w:t>千焦计算，其折算标准煤系数为</w:t>
      </w:r>
      <w:r>
        <w:rPr>
          <w:rFonts w:ascii="Times New Roman" w:eastAsiaTheme="minorEastAsia" w:hAnsi="Times New Roman"/>
          <w:kern w:val="0"/>
          <w:szCs w:val="21"/>
        </w:rPr>
        <w:t>0.1229 kg/kwh</w:t>
      </w:r>
      <w:r>
        <w:rPr>
          <w:rFonts w:ascii="Times New Roman" w:eastAsiaTheme="minorEastAsia" w:hAnsi="Times New Roman" w:hint="eastAsia"/>
          <w:kern w:val="0"/>
          <w:szCs w:val="21"/>
        </w:rPr>
        <w:t>。</w:t>
      </w:r>
    </w:p>
    <w:p w:rsidR="00E67998" w:rsidRDefault="00E67998" w:rsidP="000274D0">
      <w:pPr>
        <w:autoSpaceDE w:val="0"/>
        <w:autoSpaceDN w:val="0"/>
        <w:adjustRightInd w:val="0"/>
        <w:snapToGrid w:val="0"/>
        <w:spacing w:line="300" w:lineRule="auto"/>
        <w:rPr>
          <w:rFonts w:ascii="Times New Roman" w:eastAsia="黑体" w:hAnsi="Times New Roman"/>
          <w:kern w:val="0"/>
          <w:szCs w:val="21"/>
        </w:rPr>
      </w:pPr>
    </w:p>
    <w:p w:rsidR="00E67998" w:rsidRDefault="00B30BDC" w:rsidP="000274D0">
      <w:pPr>
        <w:autoSpaceDE w:val="0"/>
        <w:autoSpaceDN w:val="0"/>
        <w:adjustRightInd w:val="0"/>
        <w:snapToGrid w:val="0"/>
        <w:spacing w:line="300" w:lineRule="auto"/>
        <w:jc w:val="center"/>
        <w:rPr>
          <w:rFonts w:ascii="Times New Roman" w:eastAsiaTheme="minorEastAsia" w:hAnsi="Times New Roman"/>
          <w:kern w:val="0"/>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E</m:t>
              </m:r>
            </m:e>
            <m:sub/>
          </m:sSub>
          <m:r>
            <w:rPr>
              <w:rFonts w:ascii="Cambria Math" w:eastAsiaTheme="minorEastAsia" w:hAnsi="Times New Roman"/>
              <w:kern w:val="0"/>
              <w:szCs w:val="21"/>
            </w:rPr>
            <m:t>=</m:t>
          </m:r>
          <m:f>
            <m:fPr>
              <m:ctrlPr>
                <w:rPr>
                  <w:rFonts w:ascii="Cambria Math" w:eastAsiaTheme="minorEastAsia" w:hAnsi="Times New Roman"/>
                  <w:i/>
                  <w:szCs w:val="21"/>
                </w:rPr>
              </m:ctrlPr>
            </m:fPr>
            <m:num>
              <m:sSub>
                <m:sSubPr>
                  <m:ctrlPr>
                    <w:rPr>
                      <w:rFonts w:ascii="Cambria Math" w:eastAsiaTheme="minorEastAsia" w:hAnsi="Times New Roman"/>
                      <w:i/>
                      <w:szCs w:val="21"/>
                    </w:rPr>
                  </m:ctrlPr>
                </m:sSubPr>
                <m:e>
                  <m:r>
                    <w:rPr>
                      <w:rFonts w:ascii="Cambria Math" w:eastAsiaTheme="minorEastAsia" w:hAnsi="Times New Roman"/>
                      <w:kern w:val="0"/>
                      <w:szCs w:val="21"/>
                    </w:rPr>
                    <m:t>E</m:t>
                  </m:r>
                </m:e>
                <m:sub>
                  <m:r>
                    <w:rPr>
                      <w:rFonts w:ascii="Cambria Math" w:eastAsiaTheme="minorEastAsia" w:hAnsi="Times New Roman"/>
                      <w:kern w:val="0"/>
                      <w:szCs w:val="21"/>
                    </w:rPr>
                    <m:t>1</m:t>
                  </m:r>
                </m:sub>
              </m:sSub>
            </m:num>
            <m:den>
              <m:r>
                <w:rPr>
                  <w:rFonts w:ascii="Cambria Math" w:eastAsiaTheme="minorEastAsia" w:hAnsi="Times New Roman"/>
                  <w:kern w:val="0"/>
                  <w:szCs w:val="21"/>
                </w:rPr>
                <m:t>G</m:t>
              </m:r>
            </m:den>
          </m:f>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lastRenderedPageBreak/>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E</m:t>
            </m:r>
          </m:e>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单位产品的综合能耗，</w:t>
      </w:r>
      <m:oMath>
        <m:r>
          <w:rPr>
            <w:rFonts w:ascii="Cambria Math" w:eastAsiaTheme="minorEastAsia" w:hAnsi="Times New Roman" w:cs="Times New Roman"/>
            <w:szCs w:val="21"/>
          </w:rPr>
          <m:t>t</m:t>
        </m:r>
      </m:oMath>
      <w:r w:rsidR="00E67998">
        <w:rPr>
          <w:rFonts w:ascii="Times New Roman" w:hAnsi="Times New Roman" w:cs="Times New Roman"/>
          <w:sz w:val="21"/>
          <w:szCs w:val="21"/>
        </w:rPr>
        <w:t>/t</w:t>
      </w:r>
    </w:p>
    <w:p w:rsidR="00E67998" w:rsidRDefault="00B30BDC" w:rsidP="000274D0">
      <w:pPr>
        <w:pStyle w:val="Default"/>
        <w:snapToGrid w:val="0"/>
        <w:spacing w:line="300" w:lineRule="auto"/>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E</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全年生产原料药综合能耗标准煤量，</w:t>
      </w:r>
      <w:r w:rsidR="00E67998">
        <w:rPr>
          <w:rFonts w:ascii="Times New Roman" w:hAnsi="Times New Roman" w:cs="Times New Roman"/>
          <w:sz w:val="21"/>
          <w:szCs w:val="21"/>
        </w:rPr>
        <w:t>t</w:t>
      </w:r>
    </w:p>
    <w:p w:rsidR="00E67998" w:rsidRDefault="00E67998" w:rsidP="000274D0">
      <w:pPr>
        <w:pStyle w:val="Default"/>
        <w:snapToGrid w:val="0"/>
        <w:spacing w:line="300" w:lineRule="auto"/>
        <w:ind w:firstLineChars="200" w:firstLine="480"/>
        <w:jc w:val="both"/>
        <w:rPr>
          <w:rFonts w:ascii="Times New Roman" w:hAnsi="Times New Roman" w:cs="Times New Roman"/>
          <w:sz w:val="21"/>
          <w:szCs w:val="21"/>
        </w:rPr>
      </w:pPr>
      <w:r>
        <w:rPr>
          <w:rFonts w:ascii="Times New Roman" w:hAnsi="Times New Roman" w:cs="Times New Roman"/>
          <w:i/>
          <w:szCs w:val="21"/>
        </w:rPr>
        <w:t>G</w:t>
      </w:r>
      <w:r>
        <w:rPr>
          <w:rFonts w:ascii="Times New Roman" w:hAnsi="Times New Roman" w:cs="Times New Roman"/>
          <w:sz w:val="21"/>
          <w:szCs w:val="21"/>
        </w:rPr>
        <w:t>——</w:t>
      </w:r>
      <w:r>
        <w:rPr>
          <w:rFonts w:ascii="Times New Roman" w:hAnsi="Times New Roman" w:cs="Times New Roman" w:hint="eastAsia"/>
          <w:sz w:val="21"/>
          <w:szCs w:val="21"/>
        </w:rPr>
        <w:t>全年原料药产量，</w:t>
      </w:r>
      <w:r>
        <w:rPr>
          <w:rFonts w:ascii="Times New Roman" w:hAnsi="Times New Roman" w:cs="Times New Roman"/>
          <w:sz w:val="21"/>
          <w:szCs w:val="21"/>
        </w:rPr>
        <w:t>t</w:t>
      </w:r>
    </w:p>
    <w:p w:rsidR="00E67998" w:rsidRDefault="00E6799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6.1.3</w:t>
      </w:r>
      <w:r>
        <w:rPr>
          <w:rFonts w:ascii="Times New Roman" w:eastAsia="黑体" w:hAnsi="Times New Roman" w:hint="eastAsia"/>
          <w:szCs w:val="21"/>
        </w:rPr>
        <w:t>合成反应步数</w:t>
      </w:r>
    </w:p>
    <w:p w:rsidR="00E67998" w:rsidRDefault="00E67998" w:rsidP="000274D0">
      <w:pPr>
        <w:pStyle w:val="Default"/>
        <w:snapToGrid w:val="0"/>
        <w:spacing w:line="300" w:lineRule="auto"/>
        <w:ind w:firstLineChars="200" w:firstLine="4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在一定时间内，合成全部目标原料药或其中间体所进行的化学反应步数总和与品种数的均值。计算方法如下</w:t>
      </w:r>
    </w:p>
    <w:p w:rsidR="00E67998" w:rsidRDefault="00B30BDC" w:rsidP="000274D0">
      <w:pPr>
        <w:adjustRightInd w:val="0"/>
        <w:snapToGrid w:val="0"/>
        <w:spacing w:line="300" w:lineRule="auto"/>
        <w:jc w:val="center"/>
        <w:rPr>
          <w:rFonts w:ascii="Times New Roman" w:eastAsiaTheme="minorEastAsia" w:hAnsi="Times New Roman"/>
          <w:color w:val="000000"/>
          <w:kern w:val="0"/>
          <w:szCs w:val="21"/>
        </w:rPr>
      </w:pPr>
      <m:oMathPara>
        <m:oMath>
          <m:sSub>
            <m:sSubPr>
              <m:ctrlPr>
                <w:rPr>
                  <w:rFonts w:ascii="Cambria Math" w:eastAsiaTheme="minorEastAsia" w:hAnsi="Times New Roman"/>
                  <w:color w:val="000000"/>
                  <w:szCs w:val="21"/>
                </w:rPr>
              </m:ctrlPr>
            </m:sSubPr>
            <m:e>
              <m:r>
                <w:rPr>
                  <w:rFonts w:ascii="Cambria Math" w:eastAsiaTheme="minorEastAsia" w:hAnsi="Times New Roman"/>
                  <w:color w:val="000000"/>
                  <w:kern w:val="0"/>
                  <w:szCs w:val="21"/>
                </w:rPr>
                <m:t>T</m:t>
              </m:r>
            </m:e>
            <m:sub>
              <m:r>
                <m:rPr>
                  <m:sty m:val="p"/>
                </m:rPr>
                <w:rPr>
                  <w:rFonts w:ascii="Cambria Math" w:eastAsiaTheme="minorEastAsia" w:hAnsi="Times New Roman"/>
                  <w:color w:val="000000"/>
                  <w:kern w:val="0"/>
                  <w:szCs w:val="21"/>
                </w:rPr>
                <m:t>hc</m:t>
              </m:r>
            </m:sub>
          </m:sSub>
          <m:r>
            <w:rPr>
              <w:rFonts w:ascii="Cambria Math" w:eastAsiaTheme="minorEastAsia" w:hAnsi="Times New Roman"/>
              <w:color w:val="000000"/>
              <w:kern w:val="0"/>
              <w:szCs w:val="21"/>
            </w:rPr>
            <m:t>=</m:t>
          </m:r>
          <m:f>
            <m:fPr>
              <m:ctrlPr>
                <w:rPr>
                  <w:rFonts w:ascii="Cambria Math" w:eastAsiaTheme="minorEastAsia" w:hAnsi="Times New Roman"/>
                  <w:i/>
                  <w:color w:val="000000"/>
                  <w:szCs w:val="21"/>
                </w:rPr>
              </m:ctrlPr>
            </m:fPr>
            <m:num>
              <m:nary>
                <m:naryPr>
                  <m:chr m:val="∑"/>
                  <m:limLoc m:val="undOvr"/>
                  <m:ctrlPr>
                    <w:rPr>
                      <w:rFonts w:ascii="Cambria Math" w:eastAsiaTheme="minorEastAsia" w:hAnsi="Times New Roman"/>
                      <w:i/>
                      <w:color w:val="000000"/>
                      <w:szCs w:val="21"/>
                    </w:rPr>
                  </m:ctrlPr>
                </m:naryPr>
                <m:sub>
                  <m:r>
                    <w:rPr>
                      <w:rFonts w:ascii="Cambria Math" w:eastAsiaTheme="minorEastAsia" w:hAnsi="Times New Roman"/>
                      <w:color w:val="000000"/>
                      <w:kern w:val="0"/>
                      <w:szCs w:val="21"/>
                    </w:rPr>
                    <m:t>i=1</m:t>
                  </m:r>
                </m:sub>
                <m:sup>
                  <m:r>
                    <w:rPr>
                      <w:rFonts w:ascii="Cambria Math" w:eastAsiaTheme="minorEastAsia" w:hAnsi="Times New Roman"/>
                      <w:color w:val="000000"/>
                      <w:kern w:val="0"/>
                      <w:szCs w:val="21"/>
                    </w:rPr>
                    <m:t>n</m:t>
                  </m:r>
                </m:sup>
                <m:e>
                  <m:sSub>
                    <m:sSubPr>
                      <m:ctrlPr>
                        <w:rPr>
                          <w:rFonts w:ascii="Cambria Math" w:eastAsiaTheme="minorEastAsia" w:hAnsi="Times New Roman"/>
                          <w:i/>
                          <w:color w:val="000000"/>
                          <w:szCs w:val="21"/>
                        </w:rPr>
                      </m:ctrlPr>
                    </m:sSubPr>
                    <m:e>
                      <m:r>
                        <w:rPr>
                          <w:rFonts w:ascii="Cambria Math" w:eastAsiaTheme="minorEastAsia" w:hAnsi="Times New Roman"/>
                          <w:color w:val="000000"/>
                          <w:kern w:val="0"/>
                          <w:szCs w:val="21"/>
                        </w:rPr>
                        <m:t>T</m:t>
                      </m:r>
                    </m:e>
                    <m:sub>
                      <m:r>
                        <w:rPr>
                          <w:rFonts w:ascii="Cambria Math" w:eastAsiaTheme="minorEastAsia" w:hAnsi="Times New Roman"/>
                          <w:color w:val="000000"/>
                          <w:kern w:val="0"/>
                          <w:szCs w:val="21"/>
                        </w:rPr>
                        <m:t>i</m:t>
                      </m:r>
                    </m:sub>
                  </m:sSub>
                </m:e>
              </m:nary>
            </m:num>
            <m:den>
              <m:r>
                <w:rPr>
                  <w:rFonts w:ascii="Cambria Math" w:eastAsiaTheme="minorEastAsia" w:hAnsi="Times New Roman"/>
                  <w:color w:val="000000"/>
                  <w:kern w:val="0"/>
                  <w:szCs w:val="21"/>
                </w:rPr>
                <m:t>n</m:t>
              </m:r>
            </m:den>
          </m:f>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T</m:t>
            </m:r>
          </m:e>
          <m:sub>
            <m:r>
              <m:rPr>
                <m:sty m:val="p"/>
              </m:rPr>
              <w:rPr>
                <w:rFonts w:ascii="Cambria Math" w:eastAsiaTheme="minorEastAsia" w:hAnsi="Cambria Math" w:cs="Times New Roman"/>
                <w:szCs w:val="21"/>
              </w:rPr>
              <m:t>h</m:t>
            </m:r>
            <m:r>
              <w:rPr>
                <w:rFonts w:ascii="Cambria Math" w:eastAsiaTheme="minorEastAsia" w:hAnsi="Times New Roman" w:cs="Times New Roman"/>
                <w:szCs w:val="21"/>
              </w:rPr>
              <m:t>c</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合成反应步数，步</w:t>
      </w:r>
      <w:r w:rsidR="00E67998">
        <w:rPr>
          <w:rFonts w:ascii="Times New Roman" w:hAnsi="Times New Roman" w:cs="Times New Roman"/>
          <w:sz w:val="21"/>
          <w:szCs w:val="21"/>
        </w:rPr>
        <w:t>/</w:t>
      </w:r>
      <w:r w:rsidR="00E67998">
        <w:rPr>
          <w:rFonts w:ascii="Times New Roman" w:hAnsi="Times New Roman" w:cs="Times New Roman" w:hint="eastAsia"/>
          <w:sz w:val="21"/>
          <w:szCs w:val="21"/>
        </w:rPr>
        <w:t>个</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T</m:t>
            </m:r>
          </m:e>
          <m:sub>
            <m:r>
              <w:rPr>
                <w:rFonts w:ascii="Cambria Math" w:hAnsi="Times New Roman" w:cs="Times New Roman"/>
                <w:sz w:val="21"/>
                <w:szCs w:val="21"/>
              </w:rPr>
              <m:t>i</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在一定计量时间内，目标原料药或其中间体所进行的化学反应步数，步</w:t>
      </w:r>
    </w:p>
    <w:p w:rsidR="00E67998" w:rsidRDefault="00E67998" w:rsidP="000274D0">
      <w:pPr>
        <w:pStyle w:val="Default"/>
        <w:snapToGrid w:val="0"/>
        <w:spacing w:line="300" w:lineRule="auto"/>
        <w:ind w:firstLineChars="279" w:firstLine="670"/>
        <w:jc w:val="both"/>
        <w:rPr>
          <w:rFonts w:ascii="Times New Roman" w:hAnsi="Times New Roman" w:cs="Times New Roman"/>
          <w:sz w:val="21"/>
          <w:szCs w:val="21"/>
        </w:rPr>
      </w:pPr>
      <w:r>
        <w:rPr>
          <w:rFonts w:ascii="Times New Roman" w:hAnsi="Times New Roman" w:cs="Times New Roman"/>
          <w:i/>
          <w:szCs w:val="21"/>
        </w:rPr>
        <w:t>n</w:t>
      </w:r>
      <w:r>
        <w:rPr>
          <w:rFonts w:ascii="Times New Roman" w:hAnsi="Times New Roman" w:cs="Times New Roman"/>
          <w:sz w:val="21"/>
          <w:szCs w:val="21"/>
        </w:rPr>
        <w:t>——</w:t>
      </w:r>
      <w:r>
        <w:rPr>
          <w:rFonts w:ascii="Times New Roman" w:hAnsi="Times New Roman" w:cs="Times New Roman" w:hint="eastAsia"/>
          <w:sz w:val="21"/>
          <w:szCs w:val="21"/>
        </w:rPr>
        <w:t>在一定计量时间内，合成目标原料药或其中间体的品种数，个</w:t>
      </w:r>
    </w:p>
    <w:p w:rsidR="00E67998" w:rsidRDefault="00E67998" w:rsidP="000274D0">
      <w:pPr>
        <w:adjustRightInd w:val="0"/>
        <w:snapToGrid w:val="0"/>
        <w:spacing w:line="300" w:lineRule="auto"/>
        <w:jc w:val="center"/>
        <w:rPr>
          <w:rFonts w:ascii="Times New Roman" w:eastAsiaTheme="minorEastAsia" w:hAnsi="Times New Roman"/>
          <w:color w:val="000000"/>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6.1.4</w:t>
      </w:r>
      <w:r>
        <w:rPr>
          <w:rFonts w:ascii="Times New Roman" w:eastAsia="黑体" w:hAnsi="Times New Roman" w:hint="eastAsia"/>
          <w:szCs w:val="21"/>
        </w:rPr>
        <w:t>目标产物提取收率</w:t>
      </w:r>
    </w:p>
    <w:p w:rsidR="00E67998" w:rsidRDefault="00E67998" w:rsidP="000274D0">
      <w:pPr>
        <w:adjustRightInd w:val="0"/>
        <w:snapToGrid w:val="0"/>
        <w:spacing w:line="300" w:lineRule="auto"/>
        <w:ind w:firstLineChars="200" w:firstLine="420"/>
        <w:rPr>
          <w:rFonts w:ascii="Times New Roman" w:hAnsi="Times New Roman"/>
          <w:kern w:val="0"/>
          <w:szCs w:val="21"/>
        </w:rPr>
      </w:pPr>
      <w:r>
        <w:rPr>
          <w:rFonts w:ascii="Times New Roman" w:hAnsi="Times New Roman" w:hint="eastAsia"/>
          <w:szCs w:val="21"/>
        </w:rPr>
        <w:t>在一定时间内，动、植物原料中提取目标产物总量与其所在动、植物原料中理论总含量之比的百分率。</w:t>
      </w:r>
      <w:r>
        <w:rPr>
          <w:rFonts w:ascii="Times New Roman" w:hAnsi="Times New Roman" w:hint="eastAsia"/>
          <w:kern w:val="0"/>
          <w:szCs w:val="21"/>
        </w:rPr>
        <w:t>计算方法如下：</w:t>
      </w:r>
    </w:p>
    <w:p w:rsidR="00E67998" w:rsidRDefault="00B30BDC" w:rsidP="000274D0">
      <w:pPr>
        <w:adjustRightInd w:val="0"/>
        <w:snapToGrid w:val="0"/>
        <w:spacing w:line="300" w:lineRule="auto"/>
        <w:ind w:firstLineChars="200" w:firstLine="420"/>
        <w:rPr>
          <w:rFonts w:ascii="Times New Roman" w:hAnsi="Times New Roman"/>
          <w:szCs w:val="21"/>
        </w:rPr>
      </w:pPr>
      <m:oMathPara>
        <m:oMath>
          <m:sSub>
            <m:sSubPr>
              <m:ctrlPr>
                <w:rPr>
                  <w:rFonts w:ascii="Cambria Math" w:hAnsi="Times New Roman"/>
                  <w:i/>
                  <w:szCs w:val="21"/>
                </w:rPr>
              </m:ctrlPr>
            </m:sSubPr>
            <m:e>
              <m:r>
                <w:rPr>
                  <w:rFonts w:ascii="Cambria Math" w:hAnsi="Times New Roman"/>
                  <w:szCs w:val="21"/>
                </w:rPr>
                <m:t>Y</m:t>
              </m:r>
            </m:e>
            <m:sub>
              <m:r>
                <w:rPr>
                  <w:rFonts w:ascii="Cambria Math" w:hAnsi="Times New Roman"/>
                  <w:szCs w:val="21"/>
                </w:rPr>
                <m:t>tq</m:t>
              </m:r>
            </m:sub>
          </m:sSub>
          <m:r>
            <m:rPr>
              <m:sty m:val="p"/>
            </m:rPr>
            <w:rPr>
              <w:rFonts w:ascii="Cambria Math" w:hAnsi="Times New Roman"/>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hAnsi="Times New Roman"/>
              <w:szCs w:val="21"/>
            </w:rPr>
            <m:t>×</m:t>
          </m:r>
          <m:r>
            <w:rPr>
              <w:rFonts w:ascii="Cambria Math" w:hAnsi="Times New Roman"/>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Y</m:t>
            </m:r>
          </m:e>
          <m:sub>
            <m:r>
              <w:rPr>
                <w:rFonts w:ascii="Cambria Math" w:eastAsiaTheme="minorEastAsia" w:hAnsi="Times New Roman" w:cs="Times New Roman"/>
                <w:szCs w:val="21"/>
              </w:rPr>
              <m:t>tq</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目标产物提取收率，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在一定计量时间内，目标产物提取总量，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在一定计量时间内，动、植物原料中理论总含量，</w:t>
      </w:r>
      <w:r w:rsidR="00E67998">
        <w:rPr>
          <w:rFonts w:ascii="Times New Roman" w:hAnsi="Times New Roman"/>
          <w:szCs w:val="21"/>
        </w:rPr>
        <w:t>kg</w:t>
      </w: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kern w:val="0"/>
          <w:szCs w:val="21"/>
        </w:rPr>
        <w:t>6.1.5</w:t>
      </w:r>
      <w:r>
        <w:rPr>
          <w:rFonts w:ascii="Times New Roman" w:eastAsia="黑体" w:hAnsi="Times New Roman" w:hint="eastAsia"/>
          <w:szCs w:val="21"/>
        </w:rPr>
        <w:t>精制收率</w:t>
      </w:r>
    </w:p>
    <w:p w:rsidR="00E67998" w:rsidRDefault="00E67998" w:rsidP="000274D0">
      <w:pPr>
        <w:adjustRightInd w:val="0"/>
        <w:snapToGrid w:val="0"/>
        <w:spacing w:line="300" w:lineRule="auto"/>
        <w:ind w:firstLineChars="200" w:firstLine="420"/>
        <w:rPr>
          <w:rFonts w:ascii="Times New Roman" w:hAnsi="Times New Roman"/>
          <w:kern w:val="0"/>
          <w:szCs w:val="21"/>
        </w:rPr>
      </w:pPr>
      <w:r>
        <w:rPr>
          <w:rFonts w:ascii="Times New Roman" w:hAnsi="Times New Roman" w:hint="eastAsia"/>
          <w:szCs w:val="21"/>
        </w:rPr>
        <w:t>在一定时间内，经精制实得原料药量与理论计算应得原料药量之比的百分率。</w:t>
      </w:r>
      <w:r>
        <w:rPr>
          <w:rFonts w:ascii="Times New Roman" w:hAnsi="Times New Roman" w:hint="eastAsia"/>
          <w:kern w:val="0"/>
          <w:szCs w:val="21"/>
        </w:rPr>
        <w:t>计算方法如下：</w:t>
      </w:r>
    </w:p>
    <w:p w:rsidR="00E67998" w:rsidRDefault="00B30BDC" w:rsidP="000274D0">
      <w:pPr>
        <w:adjustRightInd w:val="0"/>
        <w:snapToGrid w:val="0"/>
        <w:spacing w:line="300" w:lineRule="auto"/>
        <w:ind w:firstLineChars="200" w:firstLine="420"/>
        <w:rPr>
          <w:rFonts w:ascii="Times New Roman" w:hAnsi="Times New Roman"/>
          <w:kern w:val="0"/>
          <w:szCs w:val="21"/>
        </w:rPr>
      </w:pPr>
      <m:oMathPara>
        <m:oMath>
          <m:sSub>
            <m:sSubPr>
              <m:ctrlPr>
                <w:rPr>
                  <w:rFonts w:ascii="Cambria Math" w:hAnsi="Times New Roman"/>
                  <w:szCs w:val="21"/>
                </w:rPr>
              </m:ctrlPr>
            </m:sSubPr>
            <m:e>
              <m:r>
                <w:rPr>
                  <w:rFonts w:ascii="Cambria Math" w:hAnsi="Times New Roman"/>
                  <w:kern w:val="0"/>
                  <w:szCs w:val="21"/>
                </w:rPr>
                <m:t>Y</m:t>
              </m:r>
            </m:e>
            <m:sub>
              <m:r>
                <m:rPr>
                  <m:sty m:val="p"/>
                </m:rPr>
                <w:rPr>
                  <w:rFonts w:ascii="Cambria Math" w:hAnsi="Times New Roman"/>
                  <w:szCs w:val="21"/>
                </w:rPr>
                <m:t>jz</m:t>
              </m:r>
            </m:sub>
          </m:sSub>
          <m:r>
            <m:rPr>
              <m:sty m:val="p"/>
            </m:rPr>
            <w:rPr>
              <w:rFonts w:ascii="Cambria Math"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m:rPr>
              <m:sty m:val="p"/>
            </m:rPr>
            <w:rPr>
              <w:rFonts w:ascii="Cambria Math" w:hAnsi="Times New Roman"/>
              <w:kern w:val="0"/>
              <w:szCs w:val="21"/>
            </w:rPr>
            <m:t>×</m:t>
          </m:r>
          <m:r>
            <m:rPr>
              <m:sty m:val="p"/>
            </m:rPr>
            <w:rPr>
              <w:rFonts w:ascii="Cambria Math"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Y</m:t>
            </m:r>
          </m:e>
          <m:sub>
            <m:r>
              <w:rPr>
                <w:rFonts w:ascii="Cambria Math" w:eastAsiaTheme="minorEastAsia" w:hAnsi="Times New Roman" w:cs="Times New Roman"/>
                <w:szCs w:val="21"/>
              </w:rPr>
              <m:t>jz</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目标产物精制收率，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在一定计量时间内，经精制实得原料药量，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在一定计量时间内，理论计算应得原料药量，</w:t>
      </w:r>
      <w:r w:rsidR="00E67998">
        <w:rPr>
          <w:rFonts w:ascii="Times New Roman" w:hAnsi="Times New Roman"/>
          <w:szCs w:val="21"/>
        </w:rPr>
        <w:t>kg</w:t>
      </w:r>
    </w:p>
    <w:p w:rsidR="00E67998" w:rsidRDefault="00E67998" w:rsidP="000274D0">
      <w:pPr>
        <w:adjustRightInd w:val="0"/>
        <w:snapToGrid w:val="0"/>
        <w:spacing w:line="300" w:lineRule="auto"/>
        <w:ind w:firstLineChars="200" w:firstLine="420"/>
        <w:rPr>
          <w:rFonts w:ascii="Times New Roman" w:hAnsi="Times New Roman"/>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kern w:val="0"/>
          <w:szCs w:val="21"/>
        </w:rPr>
        <w:t>6.1.6</w:t>
      </w:r>
      <w:r>
        <w:rPr>
          <w:rFonts w:ascii="Times New Roman" w:eastAsia="黑体" w:hAnsi="Times New Roman" w:hint="eastAsia"/>
          <w:szCs w:val="21"/>
        </w:rPr>
        <w:t>有毒有害物质限量</w:t>
      </w:r>
    </w:p>
    <w:p w:rsidR="00E67998" w:rsidRDefault="00E67998" w:rsidP="000274D0">
      <w:pPr>
        <w:adjustRightInd w:val="0"/>
        <w:snapToGrid w:val="0"/>
        <w:spacing w:line="300" w:lineRule="auto"/>
        <w:ind w:firstLineChars="200" w:firstLine="420"/>
        <w:rPr>
          <w:rFonts w:ascii="Times New Roman" w:hAnsi="Times New Roman"/>
          <w:szCs w:val="21"/>
        </w:rPr>
      </w:pPr>
      <w:r>
        <w:rPr>
          <w:rFonts w:ascii="Times New Roman" w:hAnsi="Times New Roman" w:hint="eastAsia"/>
          <w:szCs w:val="21"/>
        </w:rPr>
        <w:t>在一定时间内，原料药终产品中非目标产物总量与原料药终产品总量之比的百分率。</w:t>
      </w:r>
      <w:r>
        <w:rPr>
          <w:rFonts w:ascii="Times New Roman" w:hAnsi="Times New Roman" w:hint="eastAsia"/>
          <w:kern w:val="0"/>
          <w:szCs w:val="21"/>
        </w:rPr>
        <w:t>计算方法如下：</w:t>
      </w:r>
    </w:p>
    <w:p w:rsidR="00E67998" w:rsidRDefault="00B30BDC" w:rsidP="000274D0">
      <w:pPr>
        <w:adjustRightInd w:val="0"/>
        <w:snapToGrid w:val="0"/>
        <w:spacing w:line="300" w:lineRule="auto"/>
        <w:jc w:val="center"/>
        <w:rPr>
          <w:rFonts w:ascii="Times New Roman" w:hAnsi="Times New Roman"/>
          <w:szCs w:val="21"/>
        </w:rPr>
      </w:pPr>
      <m:oMathPara>
        <m:oMath>
          <m:sSub>
            <m:sSubPr>
              <m:ctrlPr>
                <w:rPr>
                  <w:rFonts w:ascii="Cambria Math" w:hAnsi="Times New Roman"/>
                  <w:szCs w:val="21"/>
                </w:rPr>
              </m:ctrlPr>
            </m:sSubPr>
            <m:e>
              <m:r>
                <w:rPr>
                  <w:rFonts w:ascii="Cambria Math" w:hAnsi="Times New Roman"/>
                  <w:szCs w:val="21"/>
                </w:rPr>
                <m:t>M</m:t>
              </m:r>
            </m:e>
            <m:sub>
              <m:r>
                <w:rPr>
                  <w:rFonts w:ascii="Cambria Math" w:hAnsi="Times New Roman"/>
                  <w:szCs w:val="21"/>
                </w:rPr>
                <m:t>p</m:t>
              </m:r>
            </m:sub>
          </m:sSub>
          <m:r>
            <m:rPr>
              <m:sty m:val="p"/>
            </m:rPr>
            <w:rPr>
              <w:rFonts w:ascii="Cambria Math" w:hAnsi="Times New Roman"/>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hAnsi="Times New Roman"/>
              <w:szCs w:val="21"/>
            </w:rPr>
            <m:t>×</m:t>
          </m:r>
          <m:r>
            <w:rPr>
              <w:rFonts w:ascii="Cambria Math" w:hAnsi="Times New Roman"/>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 xml:space="preserve"> M</m:t>
            </m:r>
          </m:e>
          <m:sub>
            <m:r>
              <w:rPr>
                <w:rFonts w:ascii="Cambria Math" w:hAnsi="Times New Roman" w:cs="Times New Roman"/>
                <w:szCs w:val="21"/>
              </w:rPr>
              <m:t>p</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有毒有害物质限量，</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内，原料药终产品中非目标产物总量</w:t>
      </w:r>
      <w:r w:rsidR="00E67998">
        <w:rPr>
          <w:rFonts w:ascii="Times New Roman" w:hAnsi="Times New Roman" w:cs="Times New Roman" w:hint="eastAsia"/>
          <w:sz w:val="21"/>
          <w:szCs w:val="21"/>
        </w:rPr>
        <w:t>，</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在一定计量时间内，原料药终产品总量，</w:t>
      </w:r>
      <w:r w:rsidR="00E67998">
        <w:rPr>
          <w:rFonts w:ascii="Times New Roman" w:hAnsi="Times New Roman"/>
          <w:szCs w:val="21"/>
        </w:rPr>
        <w:t>kg</w:t>
      </w:r>
    </w:p>
    <w:p w:rsidR="00E67998" w:rsidRDefault="00E67998" w:rsidP="000274D0">
      <w:pPr>
        <w:adjustRightInd w:val="0"/>
        <w:snapToGrid w:val="0"/>
        <w:spacing w:line="300" w:lineRule="auto"/>
        <w:jc w:val="center"/>
        <w:rPr>
          <w:rFonts w:ascii="Times New Roman" w:hAnsi="Times New Roman"/>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6.1.7</w:t>
      </w:r>
      <w:r>
        <w:rPr>
          <w:rFonts w:ascii="Times New Roman" w:eastAsia="黑体" w:hAnsi="Times New Roman" w:hint="eastAsia"/>
          <w:kern w:val="0"/>
          <w:szCs w:val="21"/>
        </w:rPr>
        <w:t>副产物利用率</w:t>
      </w:r>
    </w:p>
    <w:p w:rsidR="00E67998" w:rsidRDefault="00E67998" w:rsidP="000274D0">
      <w:pPr>
        <w:autoSpaceDE w:val="0"/>
        <w:autoSpaceDN w:val="0"/>
        <w:adjustRightInd w:val="0"/>
        <w:snapToGrid w:val="0"/>
        <w:spacing w:line="300" w:lineRule="auto"/>
        <w:ind w:firstLineChars="200" w:firstLine="420"/>
        <w:rPr>
          <w:rFonts w:ascii="Times New Roman" w:eastAsiaTheme="minorEastAsia" w:hAnsi="Times New Roman"/>
          <w:kern w:val="0"/>
          <w:szCs w:val="21"/>
        </w:rPr>
      </w:pPr>
      <w:r>
        <w:rPr>
          <w:rFonts w:ascii="Times New Roman" w:eastAsiaTheme="minorEastAsia" w:hAnsi="Times New Roman" w:hint="eastAsia"/>
          <w:kern w:val="0"/>
          <w:szCs w:val="21"/>
        </w:rPr>
        <w:t>在一定时间内，化学合成反应产生的副产物重复利用的总量与全部副产物总量之比的百分率。计算方法如下：</w:t>
      </w:r>
    </w:p>
    <w:p w:rsidR="00E67998" w:rsidRDefault="00B30BDC" w:rsidP="000274D0">
      <w:pPr>
        <w:autoSpaceDE w:val="0"/>
        <w:autoSpaceDN w:val="0"/>
        <w:adjustRightInd w:val="0"/>
        <w:snapToGrid w:val="0"/>
        <w:spacing w:line="300" w:lineRule="auto"/>
        <w:jc w:val="center"/>
        <w:rPr>
          <w:rFonts w:ascii="Times New Roman" w:eastAsiaTheme="minorEastAsia" w:hAnsi="Times New Roman"/>
          <w:kern w:val="0"/>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Y</m:t>
              </m:r>
            </m:e>
            <m:sub>
              <m:r>
                <w:rPr>
                  <w:rFonts w:ascii="Cambria Math" w:eastAsiaTheme="minorEastAsia" w:hAnsi="Times New Roman"/>
                  <w:kern w:val="0"/>
                  <w:szCs w:val="21"/>
                </w:rPr>
                <m:t>f</m:t>
              </m:r>
            </m:sub>
          </m:sSub>
          <m:r>
            <m:rPr>
              <m:sty m:val="p"/>
            </m:rPr>
            <w:rPr>
              <w:rFonts w:ascii="Cambria Math" w:eastAsiaTheme="minorEastAsia"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eastAsiaTheme="minorEastAsia" w:hAnsi="Times New Roman"/>
              <w:kern w:val="0"/>
              <w:szCs w:val="21"/>
            </w:rPr>
            <m:t>×</m:t>
          </m:r>
          <m:r>
            <w:rPr>
              <w:rFonts w:ascii="Cambria Math" w:eastAsiaTheme="minorEastAsia"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f</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副产物利用率，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内，化学合成反应产生的副产物重复利用的总量</w:t>
      </w:r>
      <w:r w:rsidR="00E67998">
        <w:rPr>
          <w:rFonts w:ascii="Times New Roman" w:hAnsi="Times New Roman" w:cs="Times New Roman" w:hint="eastAsia"/>
          <w:sz w:val="21"/>
          <w:szCs w:val="21"/>
        </w:rPr>
        <w:t>，</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在一定计量时间内，全部副产物总量，</w:t>
      </w:r>
      <w:r w:rsidR="00E67998">
        <w:rPr>
          <w:rFonts w:ascii="Times New Roman" w:hAnsi="Times New Roman"/>
          <w:szCs w:val="21"/>
        </w:rPr>
        <w:t>kg</w:t>
      </w:r>
    </w:p>
    <w:p w:rsidR="00E67998" w:rsidRDefault="00E67998" w:rsidP="000274D0">
      <w:pPr>
        <w:autoSpaceDE w:val="0"/>
        <w:autoSpaceDN w:val="0"/>
        <w:adjustRightInd w:val="0"/>
        <w:snapToGrid w:val="0"/>
        <w:spacing w:line="300" w:lineRule="auto"/>
        <w:jc w:val="center"/>
        <w:rPr>
          <w:rFonts w:ascii="Times New Roman" w:eastAsiaTheme="minorEastAsia" w:hAnsi="Times New Roman"/>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kern w:val="0"/>
          <w:szCs w:val="21"/>
        </w:rPr>
      </w:pPr>
      <w:r>
        <w:rPr>
          <w:rFonts w:ascii="Times New Roman" w:eastAsia="黑体" w:hAnsi="Times New Roman"/>
          <w:szCs w:val="21"/>
        </w:rPr>
        <w:t>6.1.8</w:t>
      </w:r>
      <w:r>
        <w:rPr>
          <w:rFonts w:ascii="Times New Roman" w:eastAsia="黑体" w:hAnsi="Times New Roman" w:hint="eastAsia"/>
          <w:kern w:val="0"/>
          <w:szCs w:val="21"/>
        </w:rPr>
        <w:t>提取溶剂回收利用率</w:t>
      </w:r>
    </w:p>
    <w:p w:rsidR="00E67998" w:rsidRDefault="00E67998" w:rsidP="000274D0">
      <w:pPr>
        <w:adjustRightInd w:val="0"/>
        <w:snapToGrid w:val="0"/>
        <w:spacing w:line="300" w:lineRule="auto"/>
        <w:ind w:firstLineChars="200" w:firstLine="420"/>
        <w:rPr>
          <w:rFonts w:ascii="Times New Roman" w:eastAsiaTheme="minorEastAsia" w:hAnsi="Times New Roman"/>
          <w:kern w:val="0"/>
          <w:szCs w:val="21"/>
        </w:rPr>
      </w:pPr>
      <w:r>
        <w:rPr>
          <w:rFonts w:ascii="Times New Roman" w:eastAsiaTheme="minorEastAsia" w:hAnsi="Times New Roman" w:hint="eastAsia"/>
          <w:szCs w:val="21"/>
        </w:rPr>
        <w:t>在一定时间内，经回收后可重复利用的提取溶剂总量与提取使用溶剂总量之比的百分率。</w:t>
      </w:r>
      <w:r>
        <w:rPr>
          <w:rFonts w:ascii="Times New Roman" w:eastAsiaTheme="minorEastAsia" w:hAnsi="Times New Roman" w:hint="eastAsia"/>
          <w:kern w:val="0"/>
          <w:szCs w:val="21"/>
        </w:rPr>
        <w:t>计算方法如下：</w:t>
      </w:r>
    </w:p>
    <w:p w:rsidR="00E67998" w:rsidRDefault="00B30BDC" w:rsidP="000274D0">
      <w:pPr>
        <w:adjustRightInd w:val="0"/>
        <w:snapToGrid w:val="0"/>
        <w:spacing w:line="300" w:lineRule="auto"/>
        <w:ind w:firstLineChars="200" w:firstLine="420"/>
        <w:rPr>
          <w:rFonts w:ascii="Times New Roman" w:eastAsiaTheme="minorEastAsia" w:hAnsi="Times New Roman"/>
          <w:kern w:val="0"/>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Y</m:t>
              </m:r>
            </m:e>
            <m:sub>
              <m:r>
                <w:rPr>
                  <w:rFonts w:ascii="Cambria Math" w:eastAsiaTheme="minorEastAsia" w:hAnsi="Times New Roman"/>
                  <w:kern w:val="0"/>
                  <w:szCs w:val="21"/>
                </w:rPr>
                <m:t>t</m:t>
              </m:r>
            </m:sub>
          </m:sSub>
          <m:r>
            <m:rPr>
              <m:sty m:val="p"/>
            </m:rPr>
            <w:rPr>
              <w:rFonts w:ascii="Cambria Math" w:eastAsiaTheme="minorEastAsia"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eastAsiaTheme="minorEastAsia" w:hAnsi="Times New Roman"/>
              <w:kern w:val="0"/>
              <w:szCs w:val="21"/>
            </w:rPr>
            <m:t>×</m:t>
          </m:r>
          <m:r>
            <w:rPr>
              <w:rFonts w:ascii="Cambria Math" w:eastAsiaTheme="minorEastAsia"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t</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提取溶剂回收利用率，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内，经回收后可重复利用的提取溶剂总量，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在一定计量时间内，提取使用溶剂总量，</w:t>
      </w:r>
      <w:r w:rsidR="00E67998">
        <w:rPr>
          <w:rFonts w:ascii="Times New Roman" w:hAnsi="Times New Roman"/>
          <w:szCs w:val="21"/>
        </w:rPr>
        <w:t>kg</w:t>
      </w:r>
    </w:p>
    <w:p w:rsidR="00E67998" w:rsidRDefault="00E67998" w:rsidP="000274D0">
      <w:pPr>
        <w:adjustRightInd w:val="0"/>
        <w:snapToGrid w:val="0"/>
        <w:spacing w:line="300" w:lineRule="auto"/>
        <w:ind w:firstLineChars="200" w:firstLine="420"/>
        <w:rPr>
          <w:rFonts w:ascii="Times New Roman" w:eastAsiaTheme="minorEastAsia" w:hAnsi="Times New Roman"/>
          <w:kern w:val="0"/>
          <w:szCs w:val="21"/>
        </w:rPr>
      </w:pPr>
    </w:p>
    <w:p w:rsidR="00E67998" w:rsidRDefault="00E67998" w:rsidP="000274D0">
      <w:pPr>
        <w:adjustRightInd w:val="0"/>
        <w:snapToGrid w:val="0"/>
        <w:spacing w:line="300" w:lineRule="auto"/>
        <w:rPr>
          <w:rFonts w:ascii="Times New Roman" w:eastAsia="黑体" w:hAnsi="Times New Roman"/>
          <w:szCs w:val="21"/>
        </w:rPr>
      </w:pPr>
      <w:r>
        <w:rPr>
          <w:rFonts w:ascii="Times New Roman" w:eastAsia="黑体" w:hAnsi="Times New Roman"/>
          <w:kern w:val="0"/>
          <w:szCs w:val="21"/>
        </w:rPr>
        <w:t>6.1.9</w:t>
      </w:r>
      <w:r>
        <w:rPr>
          <w:rFonts w:ascii="Times New Roman" w:eastAsia="黑体" w:hAnsi="Times New Roman" w:hint="eastAsia"/>
          <w:szCs w:val="21"/>
        </w:rPr>
        <w:t>原料、菌体渣生产饲肥料率</w:t>
      </w:r>
    </w:p>
    <w:p w:rsidR="00E67998" w:rsidRDefault="00E67998" w:rsidP="000274D0">
      <w:pPr>
        <w:pStyle w:val="Default"/>
        <w:snapToGrid w:val="0"/>
        <w:spacing w:line="300" w:lineRule="auto"/>
        <w:ind w:firstLineChars="200" w:firstLine="420"/>
        <w:jc w:val="both"/>
        <w:rPr>
          <w:rFonts w:ascii="Times New Roman" w:eastAsiaTheme="minorEastAsia" w:hAnsi="Times New Roman" w:cs="Times New Roman"/>
          <w:sz w:val="21"/>
          <w:szCs w:val="21"/>
        </w:rPr>
      </w:pPr>
      <w:r>
        <w:rPr>
          <w:rFonts w:ascii="Times New Roman" w:eastAsiaTheme="minorEastAsia" w:hAnsi="Times New Roman" w:cs="Times New Roman" w:hint="eastAsia"/>
          <w:color w:val="auto"/>
          <w:sz w:val="21"/>
          <w:szCs w:val="21"/>
        </w:rPr>
        <w:t>发酵法生产原料药所产生的原料、菌丝废渣经鉴别并认定为非危险废物后，应用于生产有机饲料或肥料的量与废渣总量之比的百分率。</w:t>
      </w:r>
      <w:r>
        <w:rPr>
          <w:rFonts w:ascii="Times New Roman" w:eastAsiaTheme="minorEastAsia" w:hAnsi="Times New Roman" w:cs="Times New Roman" w:hint="eastAsia"/>
          <w:sz w:val="21"/>
          <w:szCs w:val="21"/>
        </w:rPr>
        <w:t>计算方法如下：</w:t>
      </w:r>
    </w:p>
    <w:p w:rsidR="00E67998" w:rsidRDefault="00E67998" w:rsidP="000274D0">
      <w:pPr>
        <w:pStyle w:val="Default"/>
        <w:snapToGrid w:val="0"/>
        <w:spacing w:line="300" w:lineRule="auto"/>
        <w:ind w:firstLineChars="200" w:firstLine="420"/>
        <w:jc w:val="both"/>
        <w:rPr>
          <w:rFonts w:ascii="Times New Roman" w:eastAsiaTheme="minorEastAsia" w:hAnsi="Times New Roman" w:cs="Times New Roman"/>
          <w:sz w:val="21"/>
          <w:szCs w:val="21"/>
        </w:rPr>
      </w:pPr>
    </w:p>
    <w:p w:rsidR="00E67998" w:rsidRDefault="00B30BDC" w:rsidP="000274D0">
      <w:pPr>
        <w:pStyle w:val="Default"/>
        <w:snapToGrid w:val="0"/>
        <w:spacing w:line="300" w:lineRule="auto"/>
        <w:ind w:firstLineChars="200" w:firstLine="420"/>
        <w:jc w:val="both"/>
        <w:rPr>
          <w:rFonts w:ascii="Times New Roman" w:eastAsiaTheme="minorEastAsia" w:hAnsi="Times New Roman" w:cs="Times New Roman"/>
          <w:sz w:val="21"/>
          <w:szCs w:val="21"/>
        </w:rPr>
      </w:pPr>
      <m:oMathPara>
        <m:oMath>
          <m:sSub>
            <m:sSubPr>
              <m:ctrlPr>
                <w:rPr>
                  <w:rFonts w:ascii="Cambria Math" w:eastAsiaTheme="minorEastAsia" w:hAnsi="Times New Roman" w:cs="Times New Roman"/>
                  <w:sz w:val="21"/>
                  <w:szCs w:val="21"/>
                </w:rPr>
              </m:ctrlPr>
            </m:sSubPr>
            <m:e>
              <m:r>
                <w:rPr>
                  <w:rFonts w:ascii="Cambria Math" w:eastAsiaTheme="minorEastAsia" w:hAnsi="Times New Roman" w:cs="Times New Roman"/>
                  <w:sz w:val="21"/>
                  <w:szCs w:val="21"/>
                </w:rPr>
                <m:t>Y</m:t>
              </m:r>
            </m:e>
            <m:sub>
              <m:r>
                <m:rPr>
                  <m:sty m:val="p"/>
                </m:rPr>
                <w:rPr>
                  <w:rFonts w:ascii="Cambria Math" w:eastAsiaTheme="minorEastAsia" w:hAnsi="Times New Roman" w:cs="Times New Roman"/>
                  <w:sz w:val="21"/>
                  <w:szCs w:val="21"/>
                </w:rPr>
                <m:t>sf</m:t>
              </m:r>
            </m:sub>
          </m:sSub>
          <m:r>
            <m:rPr>
              <m:sty m:val="p"/>
            </m:rPr>
            <w:rPr>
              <w:rFonts w:ascii="Cambria Math" w:eastAsiaTheme="minorEastAsia" w:hAnsi="Times New Roman" w:cs="Times New Roman"/>
              <w:sz w:val="21"/>
              <w:szCs w:val="21"/>
            </w:rPr>
            <m:t>=</m:t>
          </m:r>
          <m:f>
            <m:fPr>
              <m:ctrlPr>
                <w:rPr>
                  <w:rFonts w:ascii="Cambria Math" w:hAnsi="Times New Roman" w:cs="Times New Roman"/>
                  <w:i/>
                  <w:kern w:val="2"/>
                  <w:sz w:val="21"/>
                  <w:szCs w:val="21"/>
                </w:rPr>
              </m:ctrlPr>
            </m:fPr>
            <m:num>
              <m:sSub>
                <m:sSubPr>
                  <m:ctrlPr>
                    <w:rPr>
                      <w:rFonts w:ascii="Cambria Math" w:hAnsi="Times New Roman" w:cs="Times New Roman"/>
                      <w:i/>
                      <w:kern w:val="2"/>
                      <w:sz w:val="21"/>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cs="Times New Roman"/>
                      <w:i/>
                      <w:kern w:val="2"/>
                      <w:sz w:val="21"/>
                      <w:szCs w:val="21"/>
                    </w:rPr>
                  </m:ctrlPr>
                </m:sSubPr>
                <m:e>
                  <m:r>
                    <w:rPr>
                      <w:rFonts w:ascii="Cambria Math" w:hAnsi="Times New Roman"/>
                      <w:szCs w:val="21"/>
                    </w:rPr>
                    <m:t>M</m:t>
                  </m:r>
                </m:e>
                <m:sub>
                  <m:r>
                    <w:rPr>
                      <w:rFonts w:ascii="Cambria Math" w:hAnsi="Times New Roman"/>
                      <w:szCs w:val="21"/>
                    </w:rPr>
                    <m:t>0</m:t>
                  </m:r>
                </m:sub>
              </m:sSub>
            </m:den>
          </m:f>
          <m:r>
            <m:rPr>
              <m:sty m:val="p"/>
            </m:rPr>
            <w:rPr>
              <w:rFonts w:ascii="Cambria Math" w:eastAsiaTheme="minorEastAsia" w:hAnsi="Times New Roman" w:cs="Times New Roman"/>
              <w:sz w:val="21"/>
              <w:szCs w:val="21"/>
            </w:rPr>
            <m:t>×</m:t>
          </m:r>
          <m:r>
            <m:rPr>
              <m:sty m:val="p"/>
            </m:rPr>
            <w:rPr>
              <w:rFonts w:ascii="Cambria Math" w:eastAsiaTheme="minorEastAsia" w:hAnsi="Times New Roman" w:cs="Times New Roman"/>
              <w:sz w:val="21"/>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sf</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原料、菌体渣生产饲肥料率，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内，原料、菌体渣用于生产有机饲料或肥料的量，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在一定计量时间内，原料、菌体渣总量，</w:t>
      </w:r>
      <w:r w:rsidR="00E67998">
        <w:rPr>
          <w:rFonts w:ascii="Times New Roman" w:hAnsi="Times New Roman"/>
          <w:szCs w:val="21"/>
        </w:rPr>
        <w:t>kg</w:t>
      </w:r>
    </w:p>
    <w:p w:rsidR="00E67998" w:rsidRDefault="00E67998" w:rsidP="000274D0">
      <w:pPr>
        <w:pStyle w:val="Default"/>
        <w:snapToGrid w:val="0"/>
        <w:spacing w:line="300" w:lineRule="auto"/>
        <w:ind w:firstLineChars="200" w:firstLine="420"/>
        <w:jc w:val="both"/>
        <w:rPr>
          <w:rFonts w:ascii="Times New Roman" w:eastAsiaTheme="minorEastAsia" w:hAnsi="Times New Roman" w:cs="Times New Roman"/>
          <w:sz w:val="21"/>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6.1.10</w:t>
      </w:r>
      <w:r>
        <w:rPr>
          <w:rFonts w:ascii="Times New Roman" w:eastAsia="黑体" w:hAnsi="Times New Roman" w:hint="eastAsia"/>
          <w:szCs w:val="21"/>
        </w:rPr>
        <w:t>试剂、溶剂重复利用率</w:t>
      </w:r>
    </w:p>
    <w:p w:rsidR="00E67998" w:rsidRDefault="00E67998" w:rsidP="000274D0">
      <w:pPr>
        <w:adjustRightInd w:val="0"/>
        <w:snapToGrid w:val="0"/>
        <w:spacing w:line="300" w:lineRule="auto"/>
        <w:ind w:firstLineChars="200" w:firstLine="420"/>
        <w:rPr>
          <w:rFonts w:ascii="Times New Roman" w:hAnsi="Times New Roman"/>
          <w:kern w:val="0"/>
          <w:szCs w:val="21"/>
        </w:rPr>
      </w:pPr>
      <w:r>
        <w:rPr>
          <w:rFonts w:ascii="Times New Roman" w:hAnsi="Times New Roman" w:hint="eastAsia"/>
          <w:szCs w:val="21"/>
        </w:rPr>
        <w:t>在一定时间内，经回收后可重复利用的试剂、溶剂总量与投入使用的试剂、溶剂总量之比的百分率。</w:t>
      </w:r>
      <w:r>
        <w:rPr>
          <w:rFonts w:ascii="Times New Roman" w:hAnsi="Times New Roman" w:hint="eastAsia"/>
          <w:kern w:val="0"/>
          <w:szCs w:val="21"/>
        </w:rPr>
        <w:t>计算方法如下：</w:t>
      </w:r>
    </w:p>
    <w:p w:rsidR="00E67998" w:rsidRDefault="00E67998" w:rsidP="000274D0">
      <w:pPr>
        <w:adjustRightInd w:val="0"/>
        <w:snapToGrid w:val="0"/>
        <w:spacing w:line="300" w:lineRule="auto"/>
        <w:ind w:firstLineChars="200" w:firstLine="420"/>
        <w:rPr>
          <w:rFonts w:ascii="Times New Roman" w:hAnsi="Times New Roman"/>
          <w:szCs w:val="21"/>
        </w:rPr>
      </w:pPr>
    </w:p>
    <w:p w:rsidR="00E67998" w:rsidRDefault="00B30BDC" w:rsidP="000274D0">
      <w:pPr>
        <w:adjustRightInd w:val="0"/>
        <w:snapToGrid w:val="0"/>
        <w:spacing w:line="300" w:lineRule="auto"/>
        <w:ind w:firstLineChars="200" w:firstLine="420"/>
        <w:rPr>
          <w:rFonts w:ascii="Times New Roman" w:hAnsi="Times New Roman"/>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Y</m:t>
              </m:r>
            </m:e>
            <m:sub>
              <m:r>
                <w:rPr>
                  <w:rFonts w:ascii="Cambria Math" w:eastAsiaTheme="minorEastAsia" w:hAnsi="Times New Roman"/>
                  <w:kern w:val="0"/>
                  <w:szCs w:val="21"/>
                </w:rPr>
                <m:t>cf</m:t>
              </m:r>
            </m:sub>
          </m:sSub>
          <m:r>
            <m:rPr>
              <m:sty m:val="p"/>
            </m:rPr>
            <w:rPr>
              <w:rFonts w:ascii="Cambria Math" w:eastAsiaTheme="minorEastAsia"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eastAsiaTheme="minorEastAsia" w:hAnsi="Times New Roman"/>
              <w:kern w:val="0"/>
              <w:szCs w:val="21"/>
            </w:rPr>
            <m:t>×</m:t>
          </m:r>
          <m:r>
            <w:rPr>
              <w:rFonts w:ascii="Cambria Math" w:eastAsiaTheme="minorEastAsia"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cf</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试剂、溶剂重复利用率，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内，经回收后可重复利用的试剂、溶剂总量，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在一定计量时间内，投入使用的试剂、溶剂总量，</w:t>
      </w:r>
      <w:r w:rsidR="00E67998">
        <w:rPr>
          <w:rFonts w:ascii="Times New Roman" w:hAnsi="Times New Roman"/>
          <w:szCs w:val="21"/>
        </w:rPr>
        <w:t>kg</w:t>
      </w:r>
    </w:p>
    <w:p w:rsidR="00E67998" w:rsidRDefault="00E67998" w:rsidP="000274D0">
      <w:pPr>
        <w:adjustRightInd w:val="0"/>
        <w:snapToGrid w:val="0"/>
        <w:spacing w:line="300" w:lineRule="auto"/>
        <w:ind w:firstLineChars="200" w:firstLine="420"/>
        <w:rPr>
          <w:rFonts w:ascii="Times New Roman" w:hAnsi="Times New Roman"/>
          <w:szCs w:val="21"/>
        </w:rPr>
      </w:pPr>
    </w:p>
    <w:p w:rsidR="00E67998" w:rsidRDefault="00E67998" w:rsidP="000274D0">
      <w:pPr>
        <w:autoSpaceDE w:val="0"/>
        <w:autoSpaceDN w:val="0"/>
        <w:adjustRightInd w:val="0"/>
        <w:snapToGrid w:val="0"/>
        <w:spacing w:line="300" w:lineRule="auto"/>
        <w:rPr>
          <w:rFonts w:ascii="Times New Roman" w:eastAsia="黑体" w:hAnsi="Times New Roman"/>
          <w:kern w:val="0"/>
          <w:szCs w:val="21"/>
        </w:rPr>
      </w:pPr>
      <w:r>
        <w:rPr>
          <w:rFonts w:ascii="Times New Roman" w:eastAsia="黑体" w:hAnsi="Times New Roman"/>
          <w:szCs w:val="21"/>
        </w:rPr>
        <w:t>6.1.11</w:t>
      </w:r>
      <w:r>
        <w:rPr>
          <w:rFonts w:ascii="Times New Roman" w:eastAsia="黑体" w:hAnsi="Times New Roman" w:hint="eastAsia"/>
          <w:kern w:val="0"/>
          <w:szCs w:val="21"/>
        </w:rPr>
        <w:t>固体药渣综合利用率</w:t>
      </w:r>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r>
        <w:rPr>
          <w:rFonts w:ascii="Times New Roman" w:hAnsi="Times New Roman" w:hint="eastAsia"/>
          <w:kern w:val="0"/>
          <w:szCs w:val="21"/>
        </w:rPr>
        <w:t>中药、提取类药物生产过程中产生的药渣用作有机肥料或燃料的百分率。计算方法如下：</w:t>
      </w:r>
    </w:p>
    <w:p w:rsidR="00E67998" w:rsidRDefault="00B30BDC" w:rsidP="000274D0">
      <w:pPr>
        <w:autoSpaceDE w:val="0"/>
        <w:autoSpaceDN w:val="0"/>
        <w:adjustRightInd w:val="0"/>
        <w:snapToGrid w:val="0"/>
        <w:spacing w:line="300" w:lineRule="auto"/>
        <w:ind w:firstLineChars="200" w:firstLine="420"/>
        <w:rPr>
          <w:rFonts w:ascii="Times New Roman" w:hAnsi="Times New Roman"/>
          <w:kern w:val="0"/>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Y</m:t>
              </m:r>
            </m:e>
            <m:sub>
              <m:r>
                <w:rPr>
                  <w:rFonts w:ascii="Cambria Math" w:eastAsiaTheme="minorEastAsia" w:hAnsi="Times New Roman"/>
                  <w:kern w:val="0"/>
                  <w:szCs w:val="21"/>
                </w:rPr>
                <m:t>gz</m:t>
              </m:r>
            </m:sub>
          </m:sSub>
          <m:r>
            <m:rPr>
              <m:sty m:val="p"/>
            </m:rPr>
            <w:rPr>
              <w:rFonts w:ascii="Cambria Math" w:eastAsiaTheme="minorEastAsia"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eastAsiaTheme="minorEastAsia" w:hAnsi="Times New Roman"/>
              <w:kern w:val="0"/>
              <w:szCs w:val="21"/>
            </w:rPr>
            <m:t>×</m:t>
          </m:r>
          <m:r>
            <w:rPr>
              <w:rFonts w:ascii="Cambria Math" w:eastAsiaTheme="minorEastAsia"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gz</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固体药渣综合利用率，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内，用作有机肥料或燃料的固体药渣的量，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在一定计量时间内，生产过程中产生的药渣总量，</w:t>
      </w:r>
      <w:r w:rsidR="00E67998">
        <w:rPr>
          <w:rFonts w:ascii="Times New Roman" w:hAnsi="Times New Roman"/>
          <w:szCs w:val="21"/>
        </w:rPr>
        <w:t>kg</w:t>
      </w:r>
    </w:p>
    <w:p w:rsidR="00E67998" w:rsidRDefault="00E67998" w:rsidP="000274D0">
      <w:pPr>
        <w:adjustRightInd w:val="0"/>
        <w:snapToGrid w:val="0"/>
        <w:spacing w:line="300" w:lineRule="auto"/>
        <w:rPr>
          <w:rFonts w:ascii="Times New Roman" w:hAnsi="Times New Roman"/>
          <w:kern w:val="0"/>
          <w:szCs w:val="21"/>
        </w:rPr>
      </w:pPr>
    </w:p>
    <w:p w:rsidR="00E67998" w:rsidRDefault="00E67998" w:rsidP="000274D0">
      <w:pPr>
        <w:adjustRightInd w:val="0"/>
        <w:snapToGrid w:val="0"/>
        <w:spacing w:line="300" w:lineRule="auto"/>
        <w:rPr>
          <w:rFonts w:ascii="Times New Roman" w:eastAsia="黑体" w:hAnsi="Times New Roman"/>
          <w:szCs w:val="21"/>
        </w:rPr>
      </w:pPr>
      <w:r>
        <w:rPr>
          <w:rFonts w:ascii="Times New Roman" w:eastAsia="黑体" w:hAnsi="Times New Roman"/>
          <w:kern w:val="0"/>
          <w:szCs w:val="21"/>
        </w:rPr>
        <w:t>6.1.12</w:t>
      </w:r>
      <w:r>
        <w:rPr>
          <w:rFonts w:ascii="Times New Roman" w:eastAsia="黑体" w:hAnsi="Times New Roman" w:hint="eastAsia"/>
          <w:szCs w:val="21"/>
        </w:rPr>
        <w:t>发酵废液可利用物质回收率</w:t>
      </w:r>
    </w:p>
    <w:p w:rsidR="00E67998" w:rsidRDefault="00E67998" w:rsidP="000274D0">
      <w:pPr>
        <w:adjustRightInd w:val="0"/>
        <w:snapToGrid w:val="0"/>
        <w:spacing w:line="300" w:lineRule="auto"/>
        <w:ind w:firstLineChars="200" w:firstLine="420"/>
        <w:rPr>
          <w:rFonts w:ascii="Times New Roman" w:hAnsi="Times New Roman"/>
          <w:kern w:val="0"/>
          <w:szCs w:val="21"/>
        </w:rPr>
      </w:pPr>
      <w:r>
        <w:rPr>
          <w:rFonts w:ascii="Times New Roman" w:hAnsi="Times New Roman" w:hint="eastAsia"/>
          <w:szCs w:val="21"/>
        </w:rPr>
        <w:t>在一定时间内，发酵废液中可利用物质回收总量（干重）与发酵废液总量（折合干重）之比的百分率。</w:t>
      </w:r>
      <w:r>
        <w:rPr>
          <w:rFonts w:ascii="Times New Roman" w:hAnsi="Times New Roman" w:hint="eastAsia"/>
          <w:kern w:val="0"/>
          <w:szCs w:val="21"/>
        </w:rPr>
        <w:t>计算方法如下：</w:t>
      </w:r>
    </w:p>
    <w:p w:rsidR="00E67998" w:rsidRDefault="00B30BDC" w:rsidP="000274D0">
      <w:pPr>
        <w:adjustRightInd w:val="0"/>
        <w:snapToGrid w:val="0"/>
        <w:spacing w:line="300" w:lineRule="auto"/>
        <w:ind w:firstLineChars="200" w:firstLine="420"/>
        <w:rPr>
          <w:rFonts w:ascii="Times New Roman" w:hAnsi="Times New Roman"/>
          <w:szCs w:val="21"/>
        </w:rPr>
      </w:pPr>
      <m:oMathPara>
        <m:oMath>
          <m:sSub>
            <m:sSubPr>
              <m:ctrlPr>
                <w:rPr>
                  <w:rFonts w:ascii="Cambria Math" w:eastAsiaTheme="minorEastAsia" w:hAnsi="Times New Roman"/>
                  <w:szCs w:val="21"/>
                </w:rPr>
              </m:ctrlPr>
            </m:sSubPr>
            <m:e>
              <m:r>
                <w:rPr>
                  <w:rFonts w:ascii="Cambria Math" w:eastAsiaTheme="minorEastAsia" w:hAnsi="Times New Roman"/>
                  <w:kern w:val="0"/>
                  <w:szCs w:val="21"/>
                </w:rPr>
                <m:t>Y</m:t>
              </m:r>
            </m:e>
            <m:sub>
              <m:r>
                <w:rPr>
                  <w:rFonts w:ascii="Cambria Math" w:eastAsiaTheme="minorEastAsia" w:hAnsi="Times New Roman"/>
                  <w:kern w:val="0"/>
                  <w:szCs w:val="21"/>
                </w:rPr>
                <m:t>fx</m:t>
              </m:r>
            </m:sub>
          </m:sSub>
          <m:r>
            <m:rPr>
              <m:sty m:val="p"/>
            </m:rPr>
            <w:rPr>
              <w:rFonts w:ascii="Cambria Math" w:eastAsiaTheme="minorEastAsia" w:hAnsi="Times New Roman"/>
              <w:kern w:val="0"/>
              <w:szCs w:val="21"/>
            </w:rPr>
            <m:t>=</m:t>
          </m:r>
          <m:f>
            <m:fPr>
              <m:ctrlPr>
                <w:rPr>
                  <w:rFonts w:ascii="Cambria Math" w:hAnsi="Times New Roman"/>
                  <w:i/>
                  <w:szCs w:val="21"/>
                </w:rPr>
              </m:ctrlPr>
            </m:fPr>
            <m:num>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1</m:t>
                  </m:r>
                </m:sub>
              </m:sSub>
            </m:num>
            <m:den>
              <m:sSub>
                <m:sSubPr>
                  <m:ctrlPr>
                    <w:rPr>
                      <w:rFonts w:ascii="Cambria Math" w:hAnsi="Times New Roman"/>
                      <w:i/>
                      <w:szCs w:val="21"/>
                    </w:rPr>
                  </m:ctrlPr>
                </m:sSubPr>
                <m:e>
                  <m:r>
                    <w:rPr>
                      <w:rFonts w:ascii="Cambria Math" w:hAnsi="Times New Roman"/>
                      <w:szCs w:val="21"/>
                    </w:rPr>
                    <m:t>M</m:t>
                  </m:r>
                </m:e>
                <m:sub>
                  <m:r>
                    <w:rPr>
                      <w:rFonts w:ascii="Cambria Math" w:hAnsi="Times New Roman"/>
                      <w:szCs w:val="21"/>
                    </w:rPr>
                    <m:t>0</m:t>
                  </m:r>
                </m:sub>
              </m:sSub>
            </m:den>
          </m:f>
          <m:r>
            <w:rPr>
              <w:rFonts w:ascii="Cambria Math" w:eastAsiaTheme="minorEastAsia" w:hAnsi="Times New Roman"/>
              <w:kern w:val="0"/>
              <w:szCs w:val="21"/>
            </w:rPr>
            <m:t>×</m:t>
          </m:r>
          <m:r>
            <w:rPr>
              <w:rFonts w:ascii="Cambria Math" w:eastAsiaTheme="minorEastAsia" w:hAnsi="Times New Roman"/>
              <w:kern w:val="0"/>
              <w:szCs w:val="21"/>
            </w:rPr>
            <m:t>ρ</m:t>
          </m:r>
          <m:r>
            <w:rPr>
              <w:rFonts w:ascii="Cambria Math" w:eastAsiaTheme="minorEastAsia" w:hAnsi="Times New Roman"/>
              <w:kern w:val="0"/>
              <w:szCs w:val="21"/>
            </w:rPr>
            <m:t>×</m:t>
          </m:r>
          <m:r>
            <w:rPr>
              <w:rFonts w:ascii="Cambria Math" w:eastAsiaTheme="minorEastAsia"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fx</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发酵废液可利用物质回收率，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M</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内，发酵废液中可利用物质回收的量，</w:t>
      </w:r>
      <w:r w:rsidR="00E67998">
        <w:rPr>
          <w:rFonts w:ascii="Times New Roman" w:hAnsi="Times New Roman" w:cs="Times New Roman"/>
          <w:sz w:val="21"/>
          <w:szCs w:val="21"/>
        </w:rPr>
        <w:t>kg</w:t>
      </w:r>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M</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在一定计量时间内，发酵废液总量，</w:t>
      </w:r>
      <w:r w:rsidR="00E67998">
        <w:rPr>
          <w:rFonts w:ascii="Times New Roman" w:hAnsi="Times New Roman"/>
          <w:szCs w:val="21"/>
        </w:rPr>
        <w:t>kg</w:t>
      </w:r>
    </w:p>
    <w:p w:rsidR="00E67998" w:rsidRDefault="00E67998" w:rsidP="000274D0">
      <w:pPr>
        <w:adjustRightInd w:val="0"/>
        <w:snapToGrid w:val="0"/>
        <w:spacing w:line="300" w:lineRule="auto"/>
        <w:ind w:firstLineChars="200" w:firstLine="420"/>
        <w:rPr>
          <w:rFonts w:ascii="Times New Roman" w:hAnsi="Times New Roman"/>
          <w:szCs w:val="21"/>
        </w:rPr>
      </w:pPr>
      <m:oMath>
        <m:r>
          <w:rPr>
            <w:rFonts w:ascii="Cambria Math" w:eastAsiaTheme="minorEastAsia" w:hAnsi="Times New Roman"/>
            <w:kern w:val="0"/>
            <w:szCs w:val="21"/>
          </w:rPr>
          <m:t xml:space="preserve">    ρ</m:t>
        </m:r>
      </m:oMath>
      <w:r>
        <w:rPr>
          <w:rFonts w:ascii="Times New Roman" w:hAnsi="Times New Roman"/>
          <w:szCs w:val="21"/>
        </w:rPr>
        <w:t>——</w:t>
      </w:r>
      <w:r>
        <w:rPr>
          <w:rFonts w:ascii="Times New Roman" w:hAnsi="Times New Roman" w:hint="eastAsia"/>
          <w:szCs w:val="21"/>
        </w:rPr>
        <w:t>发酵废液比重</w:t>
      </w:r>
    </w:p>
    <w:p w:rsidR="00E67998" w:rsidRDefault="00E67998" w:rsidP="000274D0">
      <w:pPr>
        <w:autoSpaceDE w:val="0"/>
        <w:autoSpaceDN w:val="0"/>
        <w:adjustRightInd w:val="0"/>
        <w:snapToGrid w:val="0"/>
        <w:spacing w:line="300" w:lineRule="auto"/>
        <w:rPr>
          <w:rFonts w:ascii="Times New Roman" w:hAnsi="Times New Roman"/>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kern w:val="0"/>
          <w:szCs w:val="21"/>
        </w:rPr>
        <w:t>6.1.13</w:t>
      </w:r>
      <w:r>
        <w:rPr>
          <w:rFonts w:ascii="Times New Roman" w:eastAsia="黑体" w:hAnsi="Times New Roman" w:hint="eastAsia"/>
          <w:szCs w:val="21"/>
        </w:rPr>
        <w:t>冷却水重复利用率</w:t>
      </w:r>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r>
        <w:rPr>
          <w:rFonts w:ascii="Times New Roman" w:hAnsi="Times New Roman" w:hint="eastAsia"/>
          <w:kern w:val="0"/>
          <w:szCs w:val="21"/>
        </w:rPr>
        <w:t>在一定时间内，原料药生产（包括原料处理、综合利用等）的冷却水重复利用水量总和与取冷却水量、冷却水重复利用水量总和之比的百分率。计算方法如下：</w:t>
      </w:r>
    </w:p>
    <w:p w:rsidR="00E67998" w:rsidRDefault="00B30BDC" w:rsidP="000274D0">
      <w:pPr>
        <w:autoSpaceDE w:val="0"/>
        <w:autoSpaceDN w:val="0"/>
        <w:adjustRightInd w:val="0"/>
        <w:snapToGrid w:val="0"/>
        <w:spacing w:line="300" w:lineRule="auto"/>
        <w:ind w:firstLineChars="200" w:firstLine="420"/>
        <w:rPr>
          <w:rFonts w:ascii="Times New Roman" w:hAnsi="Times New Roman"/>
          <w:kern w:val="0"/>
          <w:szCs w:val="21"/>
        </w:rPr>
      </w:pPr>
      <m:oMathPara>
        <m:oMath>
          <m:sSub>
            <m:sSubPr>
              <m:ctrlPr>
                <w:rPr>
                  <w:rFonts w:ascii="Cambria Math" w:hAnsi="Times New Roman"/>
                  <w:i/>
                  <w:szCs w:val="21"/>
                </w:rPr>
              </m:ctrlPr>
            </m:sSubPr>
            <m:e>
              <m:r>
                <w:rPr>
                  <w:rFonts w:ascii="Cambria Math" w:hAnsi="Times New Roman"/>
                  <w:kern w:val="0"/>
                  <w:szCs w:val="21"/>
                </w:rPr>
                <m:t>Y</m:t>
              </m:r>
            </m:e>
            <m:sub>
              <m:r>
                <w:rPr>
                  <w:rFonts w:ascii="Cambria Math" w:hAnsi="Times New Roman"/>
                  <w:kern w:val="0"/>
                  <w:szCs w:val="21"/>
                </w:rPr>
                <m:t>lqs</m:t>
              </m:r>
            </m:sub>
          </m:sSub>
          <m:r>
            <m:rPr>
              <m:sty m:val="p"/>
            </m:rPr>
            <w:rPr>
              <w:rFonts w:ascii="Cambria Math" w:hAnsi="Times New Roman"/>
              <w:kern w:val="0"/>
              <w:szCs w:val="21"/>
            </w:rPr>
            <m:t>=</m:t>
          </m:r>
          <m:f>
            <m:fPr>
              <m:ctrlPr>
                <w:rPr>
                  <w:rFonts w:ascii="Cambria Math" w:hAnsi="Times New Roman"/>
                  <w:szCs w:val="21"/>
                </w:rPr>
              </m:ctrlPr>
            </m:fPr>
            <m:num>
              <m:sSub>
                <m:sSubPr>
                  <m:ctrlPr>
                    <w:rPr>
                      <w:rFonts w:ascii="Cambria Math" w:hAnsi="Times New Roman"/>
                      <w:i/>
                      <w:szCs w:val="21"/>
                    </w:rPr>
                  </m:ctrlPr>
                </m:sSubPr>
                <m:e>
                  <m:r>
                    <w:rPr>
                      <w:rFonts w:ascii="Cambria Math" w:hAnsi="Times New Roman"/>
                      <w:kern w:val="0"/>
                      <w:szCs w:val="21"/>
                    </w:rPr>
                    <m:t>V</m:t>
                  </m:r>
                </m:e>
                <m:sub>
                  <m:r>
                    <w:rPr>
                      <w:rFonts w:ascii="Cambria Math" w:hAnsi="Times New Roman"/>
                      <w:kern w:val="0"/>
                      <w:szCs w:val="21"/>
                    </w:rPr>
                    <m:t>1</m:t>
                  </m:r>
                </m:sub>
              </m:sSub>
            </m:num>
            <m:den>
              <m:sSub>
                <m:sSubPr>
                  <m:ctrlPr>
                    <w:rPr>
                      <w:rFonts w:ascii="Cambria Math" w:hAnsi="Times New Roman"/>
                      <w:i/>
                      <w:szCs w:val="21"/>
                    </w:rPr>
                  </m:ctrlPr>
                </m:sSubPr>
                <m:e>
                  <m:r>
                    <w:rPr>
                      <w:rFonts w:ascii="Cambria Math" w:hAnsi="Times New Roman"/>
                      <w:kern w:val="0"/>
                      <w:szCs w:val="21"/>
                    </w:rPr>
                    <m:t>V</m:t>
                  </m:r>
                </m:e>
                <m:sub>
                  <m:r>
                    <w:rPr>
                      <w:rFonts w:ascii="Cambria Math" w:hAnsi="Times New Roman"/>
                      <w:kern w:val="0"/>
                      <w:szCs w:val="21"/>
                    </w:rPr>
                    <m:t>1</m:t>
                  </m:r>
                </m:sub>
              </m:sSub>
              <m:r>
                <w:rPr>
                  <w:rFonts w:ascii="Cambria Math" w:hAnsi="Times New Roman"/>
                  <w:kern w:val="0"/>
                  <w:szCs w:val="21"/>
                </w:rPr>
                <m:t>+</m:t>
              </m:r>
              <m:sSub>
                <m:sSubPr>
                  <m:ctrlPr>
                    <w:rPr>
                      <w:rFonts w:ascii="Cambria Math" w:hAnsi="Times New Roman"/>
                      <w:i/>
                      <w:szCs w:val="21"/>
                    </w:rPr>
                  </m:ctrlPr>
                </m:sSubPr>
                <m:e>
                  <m:r>
                    <w:rPr>
                      <w:rFonts w:ascii="Cambria Math" w:hAnsi="Times New Roman"/>
                      <w:kern w:val="0"/>
                      <w:szCs w:val="21"/>
                    </w:rPr>
                    <m:t>V</m:t>
                  </m:r>
                </m:e>
                <m:sub>
                  <m:r>
                    <w:rPr>
                      <w:rFonts w:ascii="Cambria Math" w:hAnsi="Times New Roman"/>
                      <w:kern w:val="0"/>
                      <w:szCs w:val="21"/>
                    </w:rPr>
                    <m:t>0</m:t>
                  </m:r>
                </m:sub>
              </m:sSub>
            </m:den>
          </m:f>
          <m:r>
            <m:rPr>
              <m:sty m:val="p"/>
            </m:rPr>
            <w:rPr>
              <w:rFonts w:ascii="Cambria Math" w:hAnsi="Times New Roman"/>
              <w:kern w:val="0"/>
              <w:szCs w:val="21"/>
            </w:rPr>
            <m:t>×</m:t>
          </m:r>
          <m:r>
            <m:rPr>
              <m:sty m:val="p"/>
            </m:rPr>
            <w:rPr>
              <w:rFonts w:ascii="Cambria Math" w:hAnsi="Times New Roman"/>
              <w:kern w:val="0"/>
              <w:szCs w:val="21"/>
            </w:rPr>
            <m:t>100%</m:t>
          </m:r>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Y</m:t>
            </m:r>
          </m:e>
          <m:sub>
            <m:r>
              <w:rPr>
                <w:rFonts w:ascii="Cambria Math" w:hAnsi="Times New Roman" w:cs="Times New Roman"/>
                <w:szCs w:val="21"/>
              </w:rPr>
              <m:t>lqs</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冷却水重复利用率，</w:t>
      </w:r>
      <w:r w:rsidR="00E67998">
        <w:rPr>
          <w:rFonts w:ascii="Times New Roman" w:hAnsi="Times New Roman" w:cs="Times New Roman"/>
          <w:sz w:val="21"/>
          <w:szCs w:val="21"/>
        </w:rPr>
        <w:t>%</w:t>
      </w:r>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内，冷却水重复利用的量，</w:t>
      </w:r>
      <m:oMath>
        <m:sSup>
          <m:sSupPr>
            <m:ctrlPr>
              <w:rPr>
                <w:rFonts w:ascii="Cambria Math" w:hAnsi="Times New Roman" w:cs="Times New Roman"/>
                <w:i/>
                <w:szCs w:val="21"/>
              </w:rPr>
            </m:ctrlPr>
          </m:sSupPr>
          <m:e>
            <m:r>
              <w:rPr>
                <w:rFonts w:ascii="Cambria Math" w:hAnsi="Times New Roman" w:cs="Times New Roman"/>
                <w:szCs w:val="21"/>
              </w:rPr>
              <m:t>m</m:t>
            </m:r>
          </m:e>
          <m:sup>
            <m:r>
              <w:rPr>
                <w:rFonts w:ascii="Cambria Math" w:hAnsi="Times New Roman" w:cs="Times New Roman"/>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0</m:t>
            </m:r>
          </m:sub>
        </m:sSub>
      </m:oMath>
      <w:r w:rsidR="00E67998">
        <w:rPr>
          <w:rFonts w:ascii="Times New Roman" w:hAnsi="Times New Roman"/>
          <w:szCs w:val="21"/>
        </w:rPr>
        <w:t>——</w:t>
      </w:r>
      <w:r w:rsidR="00E67998">
        <w:rPr>
          <w:rFonts w:ascii="Times New Roman" w:hAnsi="Times New Roman" w:hint="eastAsia"/>
          <w:szCs w:val="21"/>
        </w:rPr>
        <w:t>在一定计量时间内，取冷却水的量，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6.1.14</w:t>
      </w:r>
      <w:r>
        <w:rPr>
          <w:rFonts w:ascii="Times New Roman" w:eastAsia="黑体" w:hAnsi="Times New Roman" w:hint="eastAsia"/>
          <w:szCs w:val="21"/>
        </w:rPr>
        <w:t>单位产品废水产生量</w:t>
      </w:r>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r>
        <w:rPr>
          <w:rFonts w:ascii="Times New Roman" w:hAnsi="Times New Roman" w:hint="eastAsia"/>
          <w:kern w:val="0"/>
          <w:szCs w:val="21"/>
        </w:rPr>
        <w:t>在一定时间内，原料药生产（包括原料处理、综合利用、废水治理等）各部分废水之和，扣去重复利用水量。计算方法如下：</w:t>
      </w:r>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r>
        <w:rPr>
          <w:rFonts w:ascii="Times New Roman" w:hAnsi="Times New Roman" w:hint="eastAsia"/>
          <w:kern w:val="0"/>
          <w:szCs w:val="21"/>
        </w:rPr>
        <w:t>化学合成类和动植物提取类适用于下式：</w:t>
      </w:r>
    </w:p>
    <w:p w:rsidR="00E67998" w:rsidRDefault="00B30BDC" w:rsidP="000274D0">
      <w:pPr>
        <w:autoSpaceDE w:val="0"/>
        <w:autoSpaceDN w:val="0"/>
        <w:adjustRightInd w:val="0"/>
        <w:snapToGrid w:val="0"/>
        <w:spacing w:line="300" w:lineRule="auto"/>
        <w:ind w:firstLineChars="200" w:firstLine="420"/>
        <w:rPr>
          <w:rFonts w:ascii="Times New Roman" w:hAnsi="Times New Roman"/>
          <w:kern w:val="0"/>
          <w:szCs w:val="21"/>
        </w:rPr>
      </w:pPr>
      <m:oMathPara>
        <m:oMath>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z</m:t>
              </m:r>
              <m:r>
                <m:rPr>
                  <m:sty m:val="p"/>
                </m:rPr>
                <w:rPr>
                  <w:rFonts w:ascii="Cambria Math" w:hAnsi="Cambria Math"/>
                  <w:kern w:val="0"/>
                  <w:szCs w:val="21"/>
                </w:rPr>
                <m:t>h</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1</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xd</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lq</m:t>
              </m:r>
            </m:sub>
          </m:sSub>
          <m:r>
            <m:rPr>
              <m:sty m:val="p"/>
            </m:rPr>
            <w:rPr>
              <w:rFonts w:ascii="Cambria Math" w:hAnsi="Cambria Math"/>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cf</m:t>
              </m:r>
            </m:sub>
          </m:sSub>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V</m:t>
            </m:r>
          </m:e>
          <m:sub>
            <m:r>
              <w:rPr>
                <w:rFonts w:ascii="Cambria Math" w:hAnsi="Times New Roman" w:cs="Times New Roman"/>
                <w:szCs w:val="21"/>
              </w:rPr>
              <m:t>z</m:t>
            </m:r>
            <m:r>
              <m:rPr>
                <m:sty m:val="p"/>
              </m:rPr>
              <w:rPr>
                <w:rFonts w:ascii="Cambria Math" w:hAnsi="Cambria Math" w:cs="Times New Roman"/>
                <w:szCs w:val="21"/>
              </w:rPr>
              <m:t>h</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单位产品废水产生量，</w:t>
      </w:r>
      <m:oMath>
        <m:sSup>
          <m:sSupPr>
            <m:ctrlPr>
              <w:rPr>
                <w:rFonts w:ascii="Cambria Math" w:hAnsi="Times New Roman" w:cs="Times New Roman"/>
                <w:i/>
                <w:szCs w:val="21"/>
              </w:rPr>
            </m:ctrlPr>
          </m:sSupPr>
          <m:e>
            <m:r>
              <w:rPr>
                <w:rFonts w:ascii="Cambria Math" w:hAnsi="Times New Roman" w:cs="Times New Roman"/>
                <w:szCs w:val="21"/>
              </w:rPr>
              <m:t>m</m:t>
            </m:r>
          </m:e>
          <m:sup>
            <m:r>
              <w:rPr>
                <w:rFonts w:ascii="Cambria Math" w:hAnsi="Times New Roman" w:cs="Times New Roman"/>
                <w:szCs w:val="21"/>
              </w:rPr>
              <m:t>3</m:t>
            </m:r>
          </m:sup>
        </m:sSup>
      </m:oMath>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内，生产产生的工艺废水的量，</w:t>
      </w:r>
      <m:oMath>
        <m:sSup>
          <m:sSupPr>
            <m:ctrlPr>
              <w:rPr>
                <w:rFonts w:ascii="Cambria Math" w:hAnsi="Times New Roman" w:cs="Times New Roman"/>
                <w:i/>
                <w:szCs w:val="21"/>
              </w:rPr>
            </m:ctrlPr>
          </m:sSupPr>
          <m:e>
            <m:r>
              <w:rPr>
                <w:rFonts w:ascii="Cambria Math" w:hAnsi="Times New Roman" w:cs="Times New Roman"/>
                <w:szCs w:val="21"/>
              </w:rPr>
              <m:t>m</m:t>
            </m:r>
          </m:e>
          <m:sup>
            <m:r>
              <w:rPr>
                <w:rFonts w:ascii="Cambria Math" w:hAnsi="Times New Roman" w:cs="Times New Roman"/>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xd</m:t>
            </m:r>
          </m:sub>
        </m:sSub>
      </m:oMath>
      <w:r w:rsidR="00E67998">
        <w:rPr>
          <w:rFonts w:ascii="Times New Roman" w:hAnsi="Times New Roman"/>
          <w:szCs w:val="21"/>
        </w:rPr>
        <w:t>——</w:t>
      </w:r>
      <w:r w:rsidR="00E67998">
        <w:rPr>
          <w:rFonts w:ascii="Times New Roman" w:hAnsi="Times New Roman" w:hint="eastAsia"/>
          <w:szCs w:val="21"/>
        </w:rPr>
        <w:t>在一定计量时间内，使用的洗涤水的量，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lq</m:t>
            </m:r>
          </m:sub>
        </m:sSub>
      </m:oMath>
      <w:r w:rsidR="00E67998">
        <w:rPr>
          <w:rFonts w:ascii="Times New Roman" w:hAnsi="Times New Roman"/>
          <w:szCs w:val="21"/>
        </w:rPr>
        <w:t>——</w:t>
      </w:r>
      <w:r w:rsidR="00E67998">
        <w:rPr>
          <w:rFonts w:ascii="Times New Roman" w:hAnsi="Times New Roman" w:hint="eastAsia"/>
          <w:szCs w:val="21"/>
        </w:rPr>
        <w:t>在一定计量时间内，使用的冷却水的量，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cf</m:t>
            </m:r>
          </m:sub>
        </m:sSub>
      </m:oMath>
      <w:r w:rsidR="00E67998">
        <w:rPr>
          <w:rFonts w:ascii="Times New Roman" w:hAnsi="Times New Roman"/>
          <w:szCs w:val="21"/>
        </w:rPr>
        <w:t>——</w:t>
      </w:r>
      <w:r w:rsidR="00E67998">
        <w:rPr>
          <w:rFonts w:ascii="Times New Roman" w:hAnsi="Times New Roman" w:hint="eastAsia"/>
          <w:szCs w:val="21"/>
        </w:rPr>
        <w:t>在一定计量时间内，重复利用的水的量，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E67998" w:rsidP="000274D0">
      <w:pPr>
        <w:autoSpaceDE w:val="0"/>
        <w:autoSpaceDN w:val="0"/>
        <w:adjustRightInd w:val="0"/>
        <w:snapToGrid w:val="0"/>
        <w:spacing w:line="300" w:lineRule="auto"/>
        <w:rPr>
          <w:rFonts w:ascii="Times New Roman" w:hAnsi="Times New Roman"/>
          <w:kern w:val="0"/>
          <w:szCs w:val="21"/>
        </w:rPr>
      </w:pPr>
    </w:p>
    <w:p w:rsidR="00E67998" w:rsidRDefault="00E67998" w:rsidP="000274D0">
      <w:pPr>
        <w:autoSpaceDE w:val="0"/>
        <w:autoSpaceDN w:val="0"/>
        <w:adjustRightInd w:val="0"/>
        <w:snapToGrid w:val="0"/>
        <w:spacing w:line="300" w:lineRule="auto"/>
        <w:ind w:firstLineChars="200" w:firstLine="420"/>
        <w:rPr>
          <w:rFonts w:ascii="Times New Roman" w:hAnsi="Times New Roman"/>
          <w:kern w:val="0"/>
          <w:szCs w:val="21"/>
        </w:rPr>
      </w:pPr>
      <w:r>
        <w:rPr>
          <w:rFonts w:ascii="Times New Roman" w:hAnsi="Times New Roman" w:hint="eastAsia"/>
          <w:kern w:val="0"/>
          <w:szCs w:val="21"/>
        </w:rPr>
        <w:t>发酵类适用于下式：</w:t>
      </w:r>
    </w:p>
    <w:p w:rsidR="00E67998" w:rsidRDefault="00B30BDC" w:rsidP="000274D0">
      <w:pPr>
        <w:autoSpaceDE w:val="0"/>
        <w:autoSpaceDN w:val="0"/>
        <w:adjustRightInd w:val="0"/>
        <w:snapToGrid w:val="0"/>
        <w:spacing w:line="300" w:lineRule="auto"/>
        <w:ind w:firstLineChars="200" w:firstLine="420"/>
        <w:rPr>
          <w:rFonts w:ascii="Times New Roman" w:hAnsi="Times New Roman"/>
          <w:kern w:val="0"/>
          <w:szCs w:val="21"/>
        </w:rPr>
      </w:pPr>
      <m:oMathPara>
        <m:oMath>
          <m:sSub>
            <m:sSubPr>
              <m:ctrlPr>
                <w:rPr>
                  <w:rFonts w:ascii="Cambria Math" w:hAnsi="Times New Roman"/>
                  <w:i/>
                  <w:szCs w:val="21"/>
                </w:rPr>
              </m:ctrlPr>
            </m:sSubPr>
            <m:e>
              <m:r>
                <w:rPr>
                  <w:rFonts w:ascii="Cambria Math" w:hAnsi="Times New Roman"/>
                  <w:kern w:val="0"/>
                  <w:szCs w:val="21"/>
                </w:rPr>
                <m:t>V</m:t>
              </m:r>
            </m:e>
            <m:sub>
              <m:r>
                <w:rPr>
                  <w:rFonts w:ascii="Cambria Math" w:hAnsi="Times New Roman"/>
                  <w:kern w:val="0"/>
                  <w:szCs w:val="21"/>
                </w:rPr>
                <m:t>z</m:t>
              </m:r>
              <m:r>
                <w:rPr>
                  <w:rFonts w:ascii="Cambria Math" w:hAnsi="Times New Roman"/>
                  <w:kern w:val="0"/>
                  <w:szCs w:val="21"/>
                </w:rPr>
                <m:t>h</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2</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xd</m:t>
              </m:r>
            </m:sub>
          </m:sSub>
          <m:r>
            <m:rPr>
              <m:sty m:val="p"/>
            </m:rPr>
            <w:rPr>
              <w:rFonts w:ascii="Cambria Math" w:hAnsi="Times New Roman"/>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lq</m:t>
              </m:r>
            </m:sub>
          </m:sSub>
          <m:r>
            <m:rPr>
              <m:sty m:val="p"/>
            </m:rPr>
            <w:rPr>
              <w:rFonts w:ascii="Cambria Math" w:hAnsi="Cambria Math"/>
              <w:kern w:val="0"/>
              <w:szCs w:val="21"/>
            </w:rPr>
            <m:t>-</m:t>
          </m:r>
          <m:sSub>
            <m:sSubPr>
              <m:ctrlPr>
                <w:rPr>
                  <w:rFonts w:ascii="Cambria Math" w:hAnsi="Times New Roman"/>
                  <w:szCs w:val="21"/>
                </w:rPr>
              </m:ctrlPr>
            </m:sSubPr>
            <m:e>
              <m:r>
                <m:rPr>
                  <m:sty m:val="p"/>
                </m:rPr>
                <w:rPr>
                  <w:rFonts w:ascii="Cambria Math" w:hAnsi="Times New Roman"/>
                  <w:kern w:val="0"/>
                  <w:szCs w:val="21"/>
                </w:rPr>
                <m:t>V</m:t>
              </m:r>
            </m:e>
            <m:sub>
              <m:r>
                <w:rPr>
                  <w:rFonts w:ascii="Cambria Math" w:hAnsi="Times New Roman"/>
                  <w:kern w:val="0"/>
                  <w:szCs w:val="21"/>
                </w:rPr>
                <m:t>cf</m:t>
              </m:r>
            </m:sub>
          </m:sSub>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eastAsiaTheme="minorEastAsia" w:hAnsi="Times New Roman" w:cs="Times New Roman"/>
                <w:i/>
                <w:szCs w:val="21"/>
              </w:rPr>
            </m:ctrlPr>
          </m:sSubPr>
          <m:e>
            <m:r>
              <w:rPr>
                <w:rFonts w:ascii="Cambria Math" w:eastAsiaTheme="minorEastAsia" w:hAnsi="Times New Roman" w:cs="Times New Roman"/>
                <w:szCs w:val="21"/>
              </w:rPr>
              <m:t xml:space="preserve"> V</m:t>
            </m:r>
          </m:e>
          <m:sub>
            <m:r>
              <w:rPr>
                <w:rFonts w:ascii="Cambria Math" w:hAnsi="Times New Roman" w:cs="Times New Roman"/>
                <w:szCs w:val="21"/>
              </w:rPr>
              <m:t>z</m:t>
            </m:r>
            <m:r>
              <w:rPr>
                <w:rFonts w:ascii="Cambria Math" w:hAnsi="Cambria Math" w:cs="Times New Roman"/>
                <w:szCs w:val="21"/>
              </w:rPr>
              <m:t>h</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单位产品废水产生量，</w:t>
      </w:r>
      <m:oMath>
        <m:sSup>
          <m:sSupPr>
            <m:ctrlPr>
              <w:rPr>
                <w:rFonts w:ascii="Cambria Math" w:hAnsi="Times New Roman" w:cs="Times New Roman"/>
                <w:i/>
                <w:szCs w:val="21"/>
              </w:rPr>
            </m:ctrlPr>
          </m:sSupPr>
          <m:e>
            <m:r>
              <w:rPr>
                <w:rFonts w:ascii="Cambria Math" w:hAnsi="Times New Roman" w:cs="Times New Roman"/>
                <w:szCs w:val="21"/>
              </w:rPr>
              <m:t>m</m:t>
            </m:r>
          </m:e>
          <m:sup>
            <m:r>
              <w:rPr>
                <w:rFonts w:ascii="Cambria Math" w:hAnsi="Times New Roman" w:cs="Times New Roman"/>
                <w:szCs w:val="21"/>
              </w:rPr>
              <m:t>3</m:t>
            </m:r>
          </m:sup>
        </m:sSup>
      </m:oMath>
    </w:p>
    <w:p w:rsidR="00E67998" w:rsidRDefault="00B30BDC" w:rsidP="000274D0">
      <w:pPr>
        <w:pStyle w:val="Default"/>
        <w:snapToGrid w:val="0"/>
        <w:spacing w:line="300" w:lineRule="auto"/>
        <w:ind w:firstLineChars="279" w:firstLine="586"/>
        <w:jc w:val="both"/>
        <w:rPr>
          <w:rFonts w:ascii="Times New Roman" w:hAnsi="Times New Roman" w:cs="Times New Roman"/>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2</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w:t>
      </w:r>
      <w:r w:rsidR="00E67998">
        <w:rPr>
          <w:rFonts w:ascii="Times New Roman" w:hAnsi="Times New Roman" w:cs="Times New Roman" w:hint="eastAsia"/>
          <w:color w:val="auto"/>
          <w:kern w:val="2"/>
          <w:sz w:val="21"/>
          <w:szCs w:val="21"/>
        </w:rPr>
        <w:t>内，发酵废母液（离交尾液）的量，</w:t>
      </w:r>
      <m:oMath>
        <m:sSup>
          <m:sSupPr>
            <m:ctrlPr>
              <w:rPr>
                <w:rFonts w:ascii="Cambria Math" w:hAnsi="Times New Roman" w:cs="Times New Roman"/>
                <w:i/>
                <w:szCs w:val="21"/>
              </w:rPr>
            </m:ctrlPr>
          </m:sSupPr>
          <m:e>
            <m:r>
              <w:rPr>
                <w:rFonts w:ascii="Cambria Math" w:hAnsi="Times New Roman" w:cs="Times New Roman"/>
                <w:szCs w:val="21"/>
              </w:rPr>
              <m:t>m</m:t>
            </m:r>
          </m:e>
          <m:sup>
            <m:r>
              <w:rPr>
                <w:rFonts w:ascii="Cambria Math" w:hAnsi="Times New Roman" w:cs="Times New Roman"/>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xd</m:t>
            </m:r>
          </m:sub>
        </m:sSub>
      </m:oMath>
      <w:r w:rsidR="00E67998">
        <w:rPr>
          <w:rFonts w:ascii="Times New Roman" w:hAnsi="Times New Roman"/>
          <w:szCs w:val="21"/>
        </w:rPr>
        <w:t>——</w:t>
      </w:r>
      <w:r w:rsidR="00E67998">
        <w:rPr>
          <w:rFonts w:ascii="Times New Roman" w:hAnsi="Times New Roman" w:hint="eastAsia"/>
          <w:szCs w:val="21"/>
        </w:rPr>
        <w:t>在一定计量时间内，使用的洗涤水的量，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lq</m:t>
            </m:r>
          </m:sub>
        </m:sSub>
      </m:oMath>
      <w:r w:rsidR="00E67998">
        <w:rPr>
          <w:rFonts w:ascii="Times New Roman" w:hAnsi="Times New Roman"/>
          <w:szCs w:val="21"/>
        </w:rPr>
        <w:t>——</w:t>
      </w:r>
      <w:r w:rsidR="00E67998">
        <w:rPr>
          <w:rFonts w:ascii="Times New Roman" w:hAnsi="Times New Roman" w:hint="eastAsia"/>
          <w:szCs w:val="21"/>
        </w:rPr>
        <w:t>在一定计量时间内，使用的冷却水的量，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B30BDC" w:rsidP="000274D0">
      <w:pPr>
        <w:adjustRightInd w:val="0"/>
        <w:snapToGrid w:val="0"/>
        <w:spacing w:line="300" w:lineRule="auto"/>
        <w:ind w:firstLineChars="200" w:firstLine="420"/>
        <w:rPr>
          <w:rFonts w:ascii="Times New Roman" w:hAnsi="Times New Roman"/>
          <w:szCs w:val="21"/>
        </w:rPr>
      </w:pPr>
      <m:oMath>
        <m:sSub>
          <m:sSubPr>
            <m:ctrlPr>
              <w:rPr>
                <w:rFonts w:ascii="Cambria Math" w:hAnsi="Times New Roman"/>
                <w:i/>
                <w:szCs w:val="21"/>
              </w:rPr>
            </m:ctrlPr>
          </m:sSubPr>
          <m:e>
            <m:r>
              <w:rPr>
                <w:rFonts w:ascii="Cambria Math" w:hAnsi="Times New Roman"/>
                <w:szCs w:val="21"/>
              </w:rPr>
              <m:t xml:space="preserve">  V</m:t>
            </m:r>
          </m:e>
          <m:sub>
            <m:r>
              <w:rPr>
                <w:rFonts w:ascii="Cambria Math" w:hAnsi="Times New Roman"/>
                <w:szCs w:val="21"/>
              </w:rPr>
              <m:t>cf</m:t>
            </m:r>
          </m:sub>
        </m:sSub>
      </m:oMath>
      <w:r w:rsidR="00E67998">
        <w:rPr>
          <w:rFonts w:ascii="Times New Roman" w:hAnsi="Times New Roman"/>
          <w:szCs w:val="21"/>
        </w:rPr>
        <w:t>——</w:t>
      </w:r>
      <w:r w:rsidR="00E67998">
        <w:rPr>
          <w:rFonts w:ascii="Times New Roman" w:hAnsi="Times New Roman" w:hint="eastAsia"/>
          <w:szCs w:val="21"/>
        </w:rPr>
        <w:t>在一定计量时间内，重复利用的水的量，</w:t>
      </w:r>
      <m:oMath>
        <m:sSup>
          <m:sSupPr>
            <m:ctrlPr>
              <w:rPr>
                <w:rFonts w:ascii="Cambria Math" w:hAnsi="Times New Roman"/>
                <w:i/>
                <w:szCs w:val="21"/>
              </w:rPr>
            </m:ctrlPr>
          </m:sSupPr>
          <m:e>
            <m:r>
              <w:rPr>
                <w:rFonts w:ascii="Cambria Math" w:hAnsi="Times New Roman"/>
                <w:kern w:val="0"/>
                <w:szCs w:val="21"/>
              </w:rPr>
              <m:t>m</m:t>
            </m:r>
          </m:e>
          <m:sup>
            <m:r>
              <w:rPr>
                <w:rFonts w:ascii="Cambria Math" w:hAnsi="Times New Roman"/>
                <w:kern w:val="0"/>
                <w:szCs w:val="21"/>
              </w:rPr>
              <m:t>3</m:t>
            </m:r>
          </m:sup>
        </m:sSup>
      </m:oMath>
    </w:p>
    <w:p w:rsidR="00E67998" w:rsidRDefault="00E67998" w:rsidP="000274D0">
      <w:pPr>
        <w:adjustRightInd w:val="0"/>
        <w:snapToGrid w:val="0"/>
        <w:spacing w:line="300" w:lineRule="auto"/>
        <w:rPr>
          <w:rFonts w:ascii="Times New Roman" w:hAnsi="Times New Roman"/>
          <w:szCs w:val="21"/>
        </w:rPr>
      </w:pP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6.1.15</w:t>
      </w:r>
      <w:r>
        <w:rPr>
          <w:rFonts w:ascii="Times New Roman" w:eastAsia="黑体" w:hAnsi="Times New Roman" w:hint="eastAsia"/>
          <w:szCs w:val="21"/>
        </w:rPr>
        <w:t>单位产品</w:t>
      </w:r>
      <w:r>
        <w:rPr>
          <w:rFonts w:ascii="Times New Roman" w:eastAsia="黑体" w:hAnsi="Times New Roman"/>
          <w:szCs w:val="21"/>
        </w:rPr>
        <w:t>COD</w:t>
      </w:r>
      <w:r>
        <w:rPr>
          <w:rFonts w:ascii="Times New Roman" w:eastAsia="黑体" w:hAnsi="Times New Roman" w:hint="eastAsia"/>
          <w:szCs w:val="21"/>
        </w:rPr>
        <w:t>产生量</w:t>
      </w:r>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单位产品</w:t>
      </w:r>
      <w:r>
        <w:rPr>
          <w:rFonts w:ascii="Times New Roman" w:hAnsi="Times New Roman" w:cs="Times New Roman"/>
          <w:sz w:val="21"/>
          <w:szCs w:val="21"/>
        </w:rPr>
        <w:t>COD</w:t>
      </w:r>
      <w:r>
        <w:rPr>
          <w:rFonts w:ascii="Times New Roman" w:hAnsi="Times New Roman" w:cs="Times New Roman" w:hint="eastAsia"/>
          <w:sz w:val="21"/>
          <w:szCs w:val="21"/>
        </w:rPr>
        <w:t>产生量是指在一定计量时间内，每生产</w:t>
      </w:r>
      <w:r>
        <w:rPr>
          <w:rFonts w:ascii="Times New Roman" w:hAnsi="Times New Roman" w:cs="Times New Roman"/>
          <w:sz w:val="21"/>
          <w:szCs w:val="21"/>
        </w:rPr>
        <w:t>1</w:t>
      </w:r>
      <w:r>
        <w:rPr>
          <w:rFonts w:ascii="Times New Roman" w:hAnsi="Times New Roman" w:cs="Times New Roman" w:hint="eastAsia"/>
          <w:sz w:val="21"/>
          <w:szCs w:val="21"/>
        </w:rPr>
        <w:t>吨原料药（或单位标准产品）</w:t>
      </w:r>
      <w:r>
        <w:rPr>
          <w:rFonts w:ascii="Times New Roman" w:hAnsi="Times New Roman" w:cs="Times New Roman"/>
          <w:sz w:val="21"/>
          <w:szCs w:val="21"/>
        </w:rPr>
        <w:t>COD</w:t>
      </w:r>
      <w:r>
        <w:rPr>
          <w:rFonts w:ascii="Times New Roman" w:hAnsi="Times New Roman" w:cs="Times New Roman" w:hint="eastAsia"/>
          <w:sz w:val="21"/>
          <w:szCs w:val="21"/>
        </w:rPr>
        <w:t>产生量。按下式计算：</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Para>
        <m:oMath>
          <m:sSub>
            <m:sSubPr>
              <m:ctrlPr>
                <w:rPr>
                  <w:rFonts w:ascii="Cambria Math" w:hAnsi="Times New Roman" w:cs="Times New Roman"/>
                  <w:i/>
                  <w:sz w:val="21"/>
                  <w:szCs w:val="21"/>
                </w:rPr>
              </m:ctrlPr>
            </m:sSubPr>
            <m:e>
              <m:r>
                <w:rPr>
                  <w:rFonts w:ascii="Cambria Math" w:hAnsi="Times New Roman" w:cs="Times New Roman"/>
                  <w:sz w:val="21"/>
                  <w:szCs w:val="21"/>
                </w:rPr>
                <m:t>U</m:t>
              </m:r>
            </m:e>
            <m:sub>
              <m:r>
                <w:rPr>
                  <w:rFonts w:ascii="Cambria Math" w:hAnsi="Times New Roman" w:cs="Times New Roman"/>
                  <w:sz w:val="21"/>
                  <w:szCs w:val="21"/>
                </w:rPr>
                <m:t>COD</m:t>
              </m:r>
            </m:sub>
          </m:sSub>
          <m:r>
            <m:rPr>
              <m:sty m:val="p"/>
            </m:rPr>
            <w:rPr>
              <w:rFonts w:ascii="Cambria Math" w:hAnsi="Times New Roman" w:cs="Times New Roman"/>
              <w:sz w:val="21"/>
              <w:szCs w:val="21"/>
            </w:rPr>
            <m:t>=</m:t>
          </m:r>
          <m:f>
            <m:fPr>
              <m:ctrlPr>
                <w:rPr>
                  <w:rFonts w:ascii="Cambria Math" w:hAnsi="Times New Roman" w:cs="Times New Roman"/>
                  <w:sz w:val="21"/>
                  <w:szCs w:val="21"/>
                </w:rPr>
              </m:ctrlPr>
            </m:fPr>
            <m:num>
              <m:sSub>
                <m:sSubPr>
                  <m:ctrlPr>
                    <w:rPr>
                      <w:rFonts w:ascii="Cambria Math" w:hAnsi="Times New Roman" w:cs="Times New Roman"/>
                      <w:i/>
                      <w:sz w:val="21"/>
                      <w:szCs w:val="21"/>
                    </w:rPr>
                  </m:ctrlPr>
                </m:sSubPr>
                <m:e>
                  <m:r>
                    <w:rPr>
                      <w:rFonts w:ascii="Cambria Math" w:hAnsi="Times New Roman" w:cs="Times New Roman"/>
                      <w:sz w:val="21"/>
                      <w:szCs w:val="21"/>
                    </w:rPr>
                    <m:t>C</m:t>
                  </m:r>
                </m:e>
                <m:sub>
                  <m:r>
                    <w:rPr>
                      <w:rFonts w:ascii="Cambria Math" w:hAnsi="Times New Roman" w:cs="Times New Roman"/>
                      <w:sz w:val="21"/>
                      <w:szCs w:val="21"/>
                    </w:rPr>
                    <m:t>1</m:t>
                  </m:r>
                </m:sub>
              </m:sSub>
              <m:r>
                <w:rPr>
                  <w:rFonts w:ascii="Cambria Math" w:hAnsi="Cambria Math" w:cs="Times New Roman"/>
                  <w:sz w:val="21"/>
                  <w:szCs w:val="21"/>
                </w:rPr>
                <m:t>×</m:t>
              </m:r>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e</m:t>
                  </m:r>
                </m:sub>
              </m:sSub>
            </m:num>
            <m:den>
              <m:r>
                <w:rPr>
                  <w:rFonts w:ascii="Cambria Math" w:hAnsi="Times New Roman" w:cs="Times New Roman"/>
                  <w:sz w:val="21"/>
                  <w:szCs w:val="21"/>
                </w:rPr>
                <m:t>Q</m:t>
              </m:r>
            </m:den>
          </m:f>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U</m:t>
            </m:r>
          </m:e>
          <m:sub>
            <m:r>
              <w:rPr>
                <w:rFonts w:ascii="Cambria Math" w:hAnsi="Times New Roman" w:cs="Times New Roman"/>
                <w:sz w:val="21"/>
                <w:szCs w:val="21"/>
              </w:rPr>
              <m:t>COD</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w:t>
      </w:r>
      <w:r w:rsidR="00E67998">
        <w:rPr>
          <w:rFonts w:ascii="Times New Roman" w:hAnsi="Times New Roman" w:cs="Times New Roman"/>
          <w:sz w:val="21"/>
          <w:szCs w:val="21"/>
        </w:rPr>
        <w:t>COD</w:t>
      </w:r>
      <w:r w:rsidR="00E67998">
        <w:rPr>
          <w:rFonts w:ascii="Times New Roman" w:hAnsi="Times New Roman" w:cs="Times New Roman" w:hint="eastAsia"/>
          <w:sz w:val="21"/>
          <w:szCs w:val="21"/>
        </w:rPr>
        <w:t>产生量，</w:t>
      </w:r>
      <w:r w:rsidR="00E67998">
        <w:rPr>
          <w:rFonts w:ascii="Times New Roman" w:hAnsi="Times New Roman" w:cs="Times New Roman"/>
          <w:sz w:val="21"/>
          <w:szCs w:val="21"/>
        </w:rPr>
        <w:t>kg/t</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C</m:t>
            </m:r>
          </m:e>
          <m:sub>
            <m:r>
              <w:rPr>
                <w:rFonts w:ascii="Cambria Math" w:hAnsi="Times New Roman" w:cs="Times New Roman"/>
                <w:sz w:val="21"/>
                <w:szCs w:val="21"/>
              </w:rPr>
              <m:t>1</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在一定计量时间内，各生产环节排放口</w:t>
      </w:r>
      <w:r w:rsidR="00E67998">
        <w:rPr>
          <w:rFonts w:ascii="Times New Roman" w:hAnsi="Times New Roman" w:cs="Times New Roman"/>
          <w:sz w:val="21"/>
          <w:szCs w:val="21"/>
        </w:rPr>
        <w:t>COD</w:t>
      </w:r>
      <w:r w:rsidR="00E67998">
        <w:rPr>
          <w:rFonts w:ascii="Times New Roman" w:hAnsi="Times New Roman" w:cs="Times New Roman" w:hint="eastAsia"/>
          <w:sz w:val="21"/>
          <w:szCs w:val="21"/>
        </w:rPr>
        <w:t>排放浓度平均值，</w:t>
      </w:r>
      <w:r w:rsidR="00E67998">
        <w:rPr>
          <w:rFonts w:ascii="Times New Roman" w:hAnsi="Times New Roman" w:cs="Times New Roman"/>
          <w:sz w:val="21"/>
          <w:szCs w:val="21"/>
        </w:rPr>
        <w:t>mg/L</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e</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在一定计量时间内，各生产环节废水产生量，</w:t>
      </w:r>
      <w:r w:rsidR="00E67998">
        <w:rPr>
          <w:rFonts w:ascii="Times New Roman" w:hAnsi="Times New Roman" w:cs="Times New Roman"/>
          <w:sz w:val="21"/>
          <w:szCs w:val="21"/>
        </w:rPr>
        <w:t>m</w:t>
      </w:r>
      <w:r w:rsidR="00E67998">
        <w:rPr>
          <w:rFonts w:ascii="Times New Roman" w:hAnsi="Times New Roman" w:cs="Times New Roman"/>
          <w:sz w:val="21"/>
          <w:szCs w:val="21"/>
          <w:vertAlign w:val="superscript"/>
        </w:rPr>
        <w:t>3</w:t>
      </w:r>
    </w:p>
    <w:p w:rsidR="00E67998" w:rsidRDefault="00E67998" w:rsidP="000274D0">
      <w:pPr>
        <w:pStyle w:val="Default"/>
        <w:snapToGrid w:val="0"/>
        <w:spacing w:line="300" w:lineRule="auto"/>
        <w:ind w:firstLine="482"/>
        <w:jc w:val="both"/>
        <w:rPr>
          <w:rFonts w:ascii="Times New Roman" w:hAnsi="Times New Roman" w:cs="Times New Roman"/>
          <w:sz w:val="21"/>
          <w:szCs w:val="21"/>
        </w:rPr>
      </w:pPr>
      <m:oMath>
        <m:r>
          <w:rPr>
            <w:rFonts w:ascii="Cambria Math" w:hAnsi="Times New Roman" w:cs="Times New Roman"/>
            <w:sz w:val="21"/>
            <w:szCs w:val="21"/>
          </w:rPr>
          <m:t>Q</m:t>
        </m:r>
      </m:oMath>
      <w:r>
        <w:rPr>
          <w:rFonts w:ascii="Times New Roman" w:hAnsi="Times New Roman" w:cs="Times New Roman"/>
          <w:sz w:val="21"/>
          <w:szCs w:val="21"/>
        </w:rPr>
        <w:t>——</w:t>
      </w:r>
      <w:r>
        <w:rPr>
          <w:rFonts w:ascii="Times New Roman" w:hAnsi="Times New Roman" w:cs="Times New Roman" w:hint="eastAsia"/>
          <w:sz w:val="21"/>
          <w:szCs w:val="21"/>
        </w:rPr>
        <w:t>在一定计量时间内产品产量，</w:t>
      </w:r>
      <w:r>
        <w:rPr>
          <w:rFonts w:ascii="Times New Roman" w:hAnsi="Times New Roman" w:cs="Times New Roman"/>
          <w:sz w:val="21"/>
          <w:szCs w:val="21"/>
        </w:rPr>
        <w:t>t</w:t>
      </w: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6.1.16</w:t>
      </w:r>
      <w:r>
        <w:rPr>
          <w:rFonts w:ascii="Times New Roman" w:eastAsia="黑体" w:hAnsi="Times New Roman" w:hint="eastAsia"/>
          <w:szCs w:val="21"/>
        </w:rPr>
        <w:t>单位产品氨氮产生量</w:t>
      </w:r>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单位产品氨氮产生量是指在一定计量时间内，每生产</w:t>
      </w:r>
      <w:r>
        <w:rPr>
          <w:rFonts w:ascii="Times New Roman" w:hAnsi="Times New Roman" w:cs="Times New Roman"/>
          <w:sz w:val="21"/>
          <w:szCs w:val="21"/>
        </w:rPr>
        <w:t>1</w:t>
      </w:r>
      <w:r>
        <w:rPr>
          <w:rFonts w:ascii="Times New Roman" w:hAnsi="Times New Roman" w:cs="Times New Roman" w:hint="eastAsia"/>
          <w:sz w:val="21"/>
          <w:szCs w:val="21"/>
        </w:rPr>
        <w:t>吨原料药（或单位标准产品）氨氮产生量。按下式计算：</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Para>
        <m:oMath>
          <m:sSub>
            <m:sSubPr>
              <m:ctrlPr>
                <w:rPr>
                  <w:rFonts w:ascii="Cambria Math" w:hAnsi="Times New Roman" w:cs="Times New Roman"/>
                  <w:i/>
                  <w:sz w:val="21"/>
                  <w:szCs w:val="21"/>
                </w:rPr>
              </m:ctrlPr>
            </m:sSubPr>
            <m:e>
              <m:r>
                <w:rPr>
                  <w:rFonts w:ascii="Cambria Math" w:hAnsi="Times New Roman" w:cs="Times New Roman"/>
                  <w:sz w:val="21"/>
                  <w:szCs w:val="21"/>
                </w:rPr>
                <m:t>U</m:t>
              </m:r>
            </m:e>
            <m:sub>
              <m:r>
                <w:rPr>
                  <w:rFonts w:ascii="Cambria Math" w:hAnsi="Times New Roman" w:cs="Times New Roman"/>
                  <w:sz w:val="21"/>
                  <w:szCs w:val="21"/>
                </w:rPr>
                <m:t>AD</m:t>
              </m:r>
            </m:sub>
          </m:sSub>
          <m:r>
            <m:rPr>
              <m:sty m:val="p"/>
            </m:rPr>
            <w:rPr>
              <w:rFonts w:ascii="Cambria Math" w:hAnsi="Times New Roman" w:cs="Times New Roman"/>
              <w:sz w:val="21"/>
              <w:szCs w:val="21"/>
            </w:rPr>
            <m:t>=</m:t>
          </m:r>
          <m:f>
            <m:fPr>
              <m:ctrlPr>
                <w:rPr>
                  <w:rFonts w:ascii="Cambria Math" w:hAnsi="Times New Roman" w:cs="Times New Roman"/>
                  <w:sz w:val="21"/>
                  <w:szCs w:val="21"/>
                </w:rPr>
              </m:ctrlPr>
            </m:fPr>
            <m:num>
              <m:sSub>
                <m:sSubPr>
                  <m:ctrlPr>
                    <w:rPr>
                      <w:rFonts w:ascii="Cambria Math" w:hAnsi="Times New Roman" w:cs="Times New Roman"/>
                      <w:i/>
                      <w:sz w:val="21"/>
                      <w:szCs w:val="21"/>
                    </w:rPr>
                  </m:ctrlPr>
                </m:sSubPr>
                <m:e>
                  <m:r>
                    <w:rPr>
                      <w:rFonts w:ascii="Cambria Math" w:hAnsi="Times New Roman" w:cs="Times New Roman"/>
                      <w:sz w:val="21"/>
                      <w:szCs w:val="21"/>
                    </w:rPr>
                    <m:t>C</m:t>
                  </m:r>
                </m:e>
                <m:sub>
                  <m:r>
                    <w:rPr>
                      <w:rFonts w:ascii="Cambria Math" w:hAnsi="Times New Roman" w:cs="Times New Roman"/>
                      <w:sz w:val="21"/>
                      <w:szCs w:val="21"/>
                    </w:rPr>
                    <m:t>2</m:t>
                  </m:r>
                </m:sub>
              </m:sSub>
              <m:r>
                <w:rPr>
                  <w:rFonts w:ascii="Cambria Math" w:hAnsi="Cambria Math" w:cs="Times New Roman"/>
                  <w:sz w:val="21"/>
                  <w:szCs w:val="21"/>
                </w:rPr>
                <m:t>×</m:t>
              </m:r>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e</m:t>
                  </m:r>
                </m:sub>
              </m:sSub>
            </m:num>
            <m:den>
              <m:r>
                <w:rPr>
                  <w:rFonts w:ascii="Cambria Math" w:hAnsi="Times New Roman" w:cs="Times New Roman"/>
                  <w:sz w:val="21"/>
                  <w:szCs w:val="21"/>
                </w:rPr>
                <m:t>Q</m:t>
              </m:r>
            </m:den>
          </m:f>
        </m:oMath>
      </m:oMathPara>
    </w:p>
    <w:p w:rsidR="00E67998" w:rsidRDefault="00E67998" w:rsidP="000274D0">
      <w:pPr>
        <w:pStyle w:val="Default"/>
        <w:snapToGrid w:val="0"/>
        <w:spacing w:line="300" w:lineRule="auto"/>
        <w:ind w:firstLine="482"/>
        <w:jc w:val="both"/>
        <w:rPr>
          <w:rFonts w:ascii="Times New Roman" w:hAnsi="Times New Roman" w:cs="Times New Roman"/>
          <w:sz w:val="21"/>
          <w:szCs w:val="21"/>
        </w:rPr>
      </w:pPr>
    </w:p>
    <w:p w:rsidR="00E67998" w:rsidRDefault="00E67998" w:rsidP="000274D0">
      <w:pPr>
        <w:pStyle w:val="Default"/>
        <w:snapToGrid w:val="0"/>
        <w:spacing w:line="300" w:lineRule="auto"/>
        <w:ind w:firstLine="482"/>
        <w:jc w:val="both"/>
        <w:rPr>
          <w:rFonts w:ascii="Times New Roman" w:hAnsi="Times New Roman" w:cs="Times New Roman"/>
          <w:sz w:val="21"/>
          <w:szCs w:val="21"/>
        </w:rPr>
      </w:pPr>
      <w:r>
        <w:rPr>
          <w:rFonts w:ascii="Times New Roman" w:hAnsi="Times New Roman" w:cs="Times New Roman" w:hint="eastAsia"/>
          <w:sz w:val="21"/>
          <w:szCs w:val="21"/>
        </w:rPr>
        <w:t>式中</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U</m:t>
            </m:r>
          </m:e>
          <m:sub>
            <m:r>
              <w:rPr>
                <w:rFonts w:ascii="Cambria Math" w:hAnsi="Times New Roman" w:cs="Times New Roman"/>
                <w:sz w:val="21"/>
                <w:szCs w:val="21"/>
              </w:rPr>
              <m:t>AD</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单位产品氨氮产生量，</w:t>
      </w:r>
      <w:r w:rsidR="00E67998">
        <w:rPr>
          <w:rFonts w:ascii="Times New Roman" w:hAnsi="Times New Roman" w:cs="Times New Roman"/>
          <w:sz w:val="21"/>
          <w:szCs w:val="21"/>
        </w:rPr>
        <w:t>kg/t</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C</m:t>
            </m:r>
          </m:e>
          <m:sub>
            <m:r>
              <w:rPr>
                <w:rFonts w:ascii="Cambria Math" w:hAnsi="Times New Roman" w:cs="Times New Roman"/>
                <w:sz w:val="21"/>
                <w:szCs w:val="21"/>
              </w:rPr>
              <m:t>2</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在一定计量时间内，各生产环节排放口氨氮排放浓度平均值，</w:t>
      </w:r>
      <w:r w:rsidR="00E67998">
        <w:rPr>
          <w:rFonts w:ascii="Times New Roman" w:hAnsi="Times New Roman" w:cs="Times New Roman"/>
          <w:sz w:val="21"/>
          <w:szCs w:val="21"/>
        </w:rPr>
        <w:t>mg/L</w:t>
      </w:r>
    </w:p>
    <w:p w:rsidR="00E67998" w:rsidRDefault="00B30BDC" w:rsidP="000274D0">
      <w:pPr>
        <w:pStyle w:val="Default"/>
        <w:snapToGrid w:val="0"/>
        <w:spacing w:line="300" w:lineRule="auto"/>
        <w:ind w:firstLine="482"/>
        <w:jc w:val="both"/>
        <w:rPr>
          <w:rFonts w:ascii="Times New Roman" w:hAnsi="Times New Roman" w:cs="Times New Roman"/>
          <w:sz w:val="21"/>
          <w:szCs w:val="21"/>
        </w:rPr>
      </w:pPr>
      <m:oMath>
        <m:sSub>
          <m:sSubPr>
            <m:ctrlPr>
              <w:rPr>
                <w:rFonts w:ascii="Cambria Math" w:hAnsi="Times New Roman" w:cs="Times New Roman"/>
                <w:i/>
                <w:sz w:val="21"/>
                <w:szCs w:val="21"/>
              </w:rPr>
            </m:ctrlPr>
          </m:sSubPr>
          <m:e>
            <m:r>
              <w:rPr>
                <w:rFonts w:ascii="Cambria Math" w:hAnsi="Times New Roman" w:cs="Times New Roman"/>
                <w:sz w:val="21"/>
                <w:szCs w:val="21"/>
              </w:rPr>
              <m:t>V</m:t>
            </m:r>
          </m:e>
          <m:sub>
            <m:r>
              <w:rPr>
                <w:rFonts w:ascii="Cambria Math" w:hAnsi="Times New Roman" w:cs="Times New Roman"/>
                <w:sz w:val="21"/>
                <w:szCs w:val="21"/>
              </w:rPr>
              <m:t>e</m:t>
            </m:r>
          </m:sub>
        </m:sSub>
      </m:oMath>
      <w:r w:rsidR="00E67998">
        <w:rPr>
          <w:rFonts w:ascii="Times New Roman" w:hAnsi="Times New Roman" w:cs="Times New Roman"/>
          <w:sz w:val="21"/>
          <w:szCs w:val="21"/>
        </w:rPr>
        <w:t>——</w:t>
      </w:r>
      <w:r w:rsidR="00E67998">
        <w:rPr>
          <w:rFonts w:ascii="Times New Roman" w:hAnsi="Times New Roman" w:cs="Times New Roman" w:hint="eastAsia"/>
          <w:sz w:val="21"/>
          <w:szCs w:val="21"/>
        </w:rPr>
        <w:t>在一定计量时间内，各生产环节废水产生量，</w:t>
      </w:r>
      <w:r w:rsidR="00E67998">
        <w:rPr>
          <w:rFonts w:ascii="Times New Roman" w:hAnsi="Times New Roman" w:cs="Times New Roman"/>
          <w:sz w:val="21"/>
          <w:szCs w:val="21"/>
        </w:rPr>
        <w:t>m</w:t>
      </w:r>
      <w:r w:rsidR="00E67998">
        <w:rPr>
          <w:rFonts w:ascii="Times New Roman" w:hAnsi="Times New Roman" w:cs="Times New Roman"/>
          <w:sz w:val="21"/>
          <w:szCs w:val="21"/>
          <w:vertAlign w:val="superscript"/>
        </w:rPr>
        <w:t>3</w:t>
      </w:r>
    </w:p>
    <w:p w:rsidR="00E67998" w:rsidRDefault="00E67998" w:rsidP="000274D0">
      <w:pPr>
        <w:pStyle w:val="Default"/>
        <w:snapToGrid w:val="0"/>
        <w:spacing w:line="300" w:lineRule="auto"/>
        <w:ind w:firstLine="482"/>
        <w:jc w:val="both"/>
        <w:rPr>
          <w:rFonts w:ascii="Times New Roman" w:hAnsi="Times New Roman" w:cs="Times New Roman"/>
          <w:sz w:val="21"/>
          <w:szCs w:val="21"/>
        </w:rPr>
      </w:pPr>
      <m:oMath>
        <m:r>
          <w:rPr>
            <w:rFonts w:ascii="Cambria Math" w:hAnsi="Times New Roman" w:cs="Times New Roman"/>
            <w:sz w:val="21"/>
            <w:szCs w:val="21"/>
          </w:rPr>
          <m:t>Q</m:t>
        </m:r>
      </m:oMath>
      <w:r>
        <w:rPr>
          <w:rFonts w:ascii="Times New Roman" w:hAnsi="Times New Roman" w:cs="Times New Roman"/>
          <w:sz w:val="21"/>
          <w:szCs w:val="21"/>
        </w:rPr>
        <w:t>——</w:t>
      </w:r>
      <w:r>
        <w:rPr>
          <w:rFonts w:ascii="Times New Roman" w:hAnsi="Times New Roman" w:cs="Times New Roman" w:hint="eastAsia"/>
          <w:sz w:val="21"/>
          <w:szCs w:val="21"/>
        </w:rPr>
        <w:t>在一定计量时间内产品产量，</w:t>
      </w:r>
      <w:r>
        <w:rPr>
          <w:rFonts w:ascii="Times New Roman" w:hAnsi="Times New Roman" w:cs="Times New Roman"/>
          <w:sz w:val="21"/>
          <w:szCs w:val="21"/>
        </w:rPr>
        <w:t>t</w:t>
      </w:r>
    </w:p>
    <w:p w:rsidR="00E67998" w:rsidRDefault="00E67998" w:rsidP="009133F1">
      <w:pPr>
        <w:pStyle w:val="2"/>
        <w:adjustRightInd w:val="0"/>
        <w:snapToGrid w:val="0"/>
        <w:spacing w:beforeLines="50" w:afterLines="50" w:line="300" w:lineRule="auto"/>
        <w:rPr>
          <w:rFonts w:ascii="Times New Roman" w:eastAsia="黑体" w:hAnsi="Times New Roman"/>
          <w:b w:val="0"/>
          <w:sz w:val="21"/>
          <w:szCs w:val="21"/>
        </w:rPr>
      </w:pPr>
      <w:r>
        <w:rPr>
          <w:rFonts w:ascii="Times New Roman" w:eastAsia="黑体" w:hAnsi="Times New Roman"/>
          <w:b w:val="0"/>
          <w:bCs w:val="0"/>
          <w:kern w:val="0"/>
          <w:sz w:val="21"/>
          <w:szCs w:val="21"/>
        </w:rPr>
        <w:t>6.2</w:t>
      </w:r>
      <w:r>
        <w:rPr>
          <w:rFonts w:ascii="Times New Roman" w:eastAsia="黑体" w:hAnsi="Times New Roman" w:hint="eastAsia"/>
          <w:b w:val="0"/>
          <w:bCs w:val="0"/>
          <w:kern w:val="0"/>
          <w:sz w:val="21"/>
          <w:szCs w:val="21"/>
        </w:rPr>
        <w:t>数据来源</w:t>
      </w: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 xml:space="preserve">6.2.1 </w:t>
      </w:r>
      <w:r>
        <w:rPr>
          <w:rFonts w:ascii="Times New Roman" w:eastAsia="黑体" w:hAnsi="Times New Roman" w:hint="eastAsia"/>
          <w:szCs w:val="21"/>
        </w:rPr>
        <w:t>统计</w:t>
      </w:r>
    </w:p>
    <w:p w:rsidR="00E67998" w:rsidRDefault="00E67998" w:rsidP="000274D0">
      <w:pPr>
        <w:pStyle w:val="Default"/>
        <w:snapToGrid w:val="0"/>
        <w:spacing w:line="300" w:lineRule="auto"/>
        <w:ind w:firstLine="482"/>
        <w:rPr>
          <w:rFonts w:ascii="Times New Roman" w:hAnsi="Times New Roman" w:cs="Times New Roman"/>
          <w:sz w:val="21"/>
          <w:szCs w:val="21"/>
        </w:rPr>
      </w:pPr>
      <w:r>
        <w:rPr>
          <w:rFonts w:ascii="Times New Roman" w:hAnsi="Times New Roman" w:cs="Times New Roman" w:hint="eastAsia"/>
          <w:sz w:val="21"/>
          <w:szCs w:val="21"/>
        </w:rPr>
        <w:t>企业的产品产量、原材料消耗量、取水量、重复用水量、能耗及各种资源的综合利用量等，以年报或考核周期报表为准。</w:t>
      </w: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 xml:space="preserve">6.2.2 </w:t>
      </w:r>
      <w:r>
        <w:rPr>
          <w:rFonts w:ascii="Times New Roman" w:eastAsia="黑体" w:hAnsi="Times New Roman" w:hint="eastAsia"/>
          <w:szCs w:val="21"/>
        </w:rPr>
        <w:t>实测</w:t>
      </w:r>
    </w:p>
    <w:p w:rsidR="00E67998" w:rsidRDefault="00E67998" w:rsidP="000274D0">
      <w:pPr>
        <w:pStyle w:val="Default"/>
        <w:snapToGrid w:val="0"/>
        <w:spacing w:line="300" w:lineRule="auto"/>
        <w:ind w:firstLine="482"/>
        <w:rPr>
          <w:rFonts w:ascii="Times New Roman" w:hAnsi="Times New Roman" w:cs="Times New Roman"/>
          <w:sz w:val="21"/>
          <w:szCs w:val="21"/>
        </w:rPr>
      </w:pPr>
      <w:r>
        <w:rPr>
          <w:rFonts w:ascii="Times New Roman" w:hAnsi="Times New Roman" w:cs="Times New Roman" w:hint="eastAsia"/>
          <w:sz w:val="21"/>
          <w:szCs w:val="21"/>
        </w:rPr>
        <w:t>如果统计数据严重短缺，资源综合利用特征指标也可以在考核周期内用实测方法取得，考核周期一般不少于</w:t>
      </w:r>
      <w:r>
        <w:rPr>
          <w:rFonts w:ascii="Times New Roman" w:hAnsi="Times New Roman" w:cs="Times New Roman"/>
          <w:sz w:val="21"/>
          <w:szCs w:val="21"/>
        </w:rPr>
        <w:t>1</w:t>
      </w:r>
      <w:r>
        <w:rPr>
          <w:rFonts w:ascii="Times New Roman" w:hAnsi="Times New Roman" w:cs="Times New Roman" w:hint="eastAsia"/>
          <w:sz w:val="21"/>
          <w:szCs w:val="21"/>
        </w:rPr>
        <w:t>个月。</w:t>
      </w:r>
    </w:p>
    <w:p w:rsidR="00E67998" w:rsidRDefault="00E67998" w:rsidP="000274D0">
      <w:pPr>
        <w:autoSpaceDE w:val="0"/>
        <w:autoSpaceDN w:val="0"/>
        <w:adjustRightInd w:val="0"/>
        <w:snapToGrid w:val="0"/>
        <w:spacing w:line="300" w:lineRule="auto"/>
        <w:rPr>
          <w:rFonts w:ascii="Times New Roman" w:eastAsia="黑体" w:hAnsi="Times New Roman"/>
          <w:szCs w:val="21"/>
        </w:rPr>
      </w:pPr>
      <w:r>
        <w:rPr>
          <w:rFonts w:ascii="Times New Roman" w:eastAsia="黑体" w:hAnsi="Times New Roman"/>
          <w:szCs w:val="21"/>
        </w:rPr>
        <w:t xml:space="preserve">6.2.3 </w:t>
      </w:r>
      <w:r>
        <w:rPr>
          <w:rFonts w:ascii="Times New Roman" w:eastAsia="黑体" w:hAnsi="Times New Roman" w:hint="eastAsia"/>
          <w:szCs w:val="21"/>
        </w:rPr>
        <w:t>采样和监测</w:t>
      </w:r>
    </w:p>
    <w:p w:rsidR="00E67998" w:rsidRDefault="00E67998" w:rsidP="000274D0">
      <w:pPr>
        <w:pStyle w:val="Default"/>
        <w:snapToGrid w:val="0"/>
        <w:spacing w:line="300" w:lineRule="auto"/>
        <w:ind w:firstLine="482"/>
        <w:rPr>
          <w:rFonts w:ascii="Times New Roman" w:hAnsi="Times New Roman" w:cs="Times New Roman"/>
          <w:sz w:val="21"/>
          <w:szCs w:val="21"/>
        </w:rPr>
      </w:pPr>
      <w:r>
        <w:rPr>
          <w:rFonts w:ascii="Times New Roman" w:hAnsi="Times New Roman" w:cs="Times New Roman" w:hint="eastAsia"/>
          <w:sz w:val="21"/>
          <w:szCs w:val="21"/>
        </w:rPr>
        <w:lastRenderedPageBreak/>
        <w:t>本指标污染物产生指标的采样和监测按照相关技术规范执行，并采用国家或行业标准监测分析方法执行。</w:t>
      </w:r>
    </w:p>
    <w:p w:rsidR="00E67998" w:rsidRDefault="00E67998" w:rsidP="000274D0">
      <w:pPr>
        <w:autoSpaceDE w:val="0"/>
        <w:autoSpaceDN w:val="0"/>
        <w:adjustRightInd w:val="0"/>
        <w:snapToGrid w:val="0"/>
        <w:spacing w:line="300" w:lineRule="auto"/>
        <w:ind w:firstLine="420"/>
        <w:jc w:val="center"/>
        <w:rPr>
          <w:rFonts w:ascii="Times New Roman" w:hAnsi="Times New Roman"/>
          <w:kern w:val="0"/>
          <w:szCs w:val="21"/>
        </w:rPr>
      </w:pPr>
    </w:p>
    <w:p w:rsidR="00A216E8" w:rsidRPr="00E67998" w:rsidRDefault="00A216E8" w:rsidP="000274D0">
      <w:pPr>
        <w:autoSpaceDE w:val="0"/>
        <w:autoSpaceDN w:val="0"/>
        <w:adjustRightInd w:val="0"/>
        <w:snapToGrid w:val="0"/>
        <w:spacing w:line="300" w:lineRule="auto"/>
        <w:ind w:firstLine="420"/>
        <w:jc w:val="center"/>
        <w:rPr>
          <w:rFonts w:ascii="Times New Roman" w:hAnsi="Times New Roman"/>
          <w:kern w:val="0"/>
          <w:szCs w:val="21"/>
        </w:rPr>
      </w:pPr>
    </w:p>
    <w:sectPr w:rsidR="00A216E8" w:rsidRPr="00E67998" w:rsidSect="00293563">
      <w:pgSz w:w="11906" w:h="16838"/>
      <w:pgMar w:top="1418" w:right="1418" w:bottom="1418"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174" w:rsidRDefault="008B3174">
      <w:r>
        <w:separator/>
      </w:r>
    </w:p>
  </w:endnote>
  <w:endnote w:type="continuationSeparator" w:id="1">
    <w:p w:rsidR="008B3174" w:rsidRDefault="008B317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4D0" w:rsidRDefault="00B30BDC">
    <w:pPr>
      <w:pStyle w:val="a4"/>
      <w:framePr w:wrap="around" w:vAnchor="text" w:hAnchor="margin" w:xAlign="center" w:y="1"/>
      <w:rPr>
        <w:rStyle w:val="ac"/>
      </w:rPr>
    </w:pPr>
    <w:r>
      <w:fldChar w:fldCharType="begin"/>
    </w:r>
    <w:r w:rsidR="000274D0">
      <w:rPr>
        <w:rStyle w:val="ac"/>
      </w:rPr>
      <w:instrText xml:space="preserve">PAGE  </w:instrText>
    </w:r>
    <w:r>
      <w:fldChar w:fldCharType="separate"/>
    </w:r>
    <w:r w:rsidR="000274D0">
      <w:rPr>
        <w:rStyle w:val="ac"/>
      </w:rPr>
      <w:t>2</w:t>
    </w:r>
    <w:r>
      <w:fldChar w:fldCharType="end"/>
    </w:r>
  </w:p>
  <w:p w:rsidR="000274D0" w:rsidRDefault="000274D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4D0" w:rsidRDefault="00B30BDC">
    <w:pPr>
      <w:pStyle w:val="a4"/>
      <w:framePr w:wrap="around" w:vAnchor="text" w:hAnchor="margin" w:xAlign="center" w:y="1"/>
      <w:rPr>
        <w:rStyle w:val="ac"/>
      </w:rPr>
    </w:pPr>
    <w:r>
      <w:fldChar w:fldCharType="begin"/>
    </w:r>
    <w:r w:rsidR="000274D0">
      <w:rPr>
        <w:rStyle w:val="ac"/>
      </w:rPr>
      <w:instrText xml:space="preserve">PAGE  </w:instrText>
    </w:r>
    <w:r>
      <w:fldChar w:fldCharType="separate"/>
    </w:r>
    <w:r w:rsidR="000274D0">
      <w:rPr>
        <w:rStyle w:val="ac"/>
        <w:noProof/>
      </w:rPr>
      <w:t>2</w:t>
    </w:r>
    <w:r>
      <w:fldChar w:fldCharType="end"/>
    </w:r>
  </w:p>
  <w:p w:rsidR="000274D0" w:rsidRDefault="000274D0">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777223"/>
      <w:docPartObj>
        <w:docPartGallery w:val="Page Numbers (Bottom of Page)"/>
        <w:docPartUnique/>
      </w:docPartObj>
    </w:sdtPr>
    <w:sdtEndPr>
      <w:rPr>
        <w:sz w:val="24"/>
        <w:szCs w:val="24"/>
      </w:rPr>
    </w:sdtEndPr>
    <w:sdtContent>
      <w:p w:rsidR="000274D0" w:rsidRPr="00D25AC7" w:rsidRDefault="00B30BDC">
        <w:pPr>
          <w:pStyle w:val="a4"/>
          <w:jc w:val="center"/>
          <w:rPr>
            <w:sz w:val="24"/>
            <w:szCs w:val="24"/>
          </w:rPr>
        </w:pPr>
        <w:r w:rsidRPr="00D25AC7">
          <w:rPr>
            <w:sz w:val="24"/>
            <w:szCs w:val="24"/>
          </w:rPr>
          <w:fldChar w:fldCharType="begin"/>
        </w:r>
        <w:r w:rsidR="000274D0" w:rsidRPr="00D25AC7">
          <w:rPr>
            <w:sz w:val="24"/>
            <w:szCs w:val="24"/>
          </w:rPr>
          <w:instrText>PAGE   \* MERGEFORMAT</w:instrText>
        </w:r>
        <w:r w:rsidRPr="00D25AC7">
          <w:rPr>
            <w:sz w:val="24"/>
            <w:szCs w:val="24"/>
          </w:rPr>
          <w:fldChar w:fldCharType="separate"/>
        </w:r>
        <w:r w:rsidR="00DA6F02" w:rsidRPr="00DA6F02">
          <w:rPr>
            <w:noProof/>
            <w:sz w:val="24"/>
            <w:szCs w:val="24"/>
            <w:lang w:val="zh-CN"/>
          </w:rPr>
          <w:t>11</w:t>
        </w:r>
        <w:r w:rsidRPr="00D25AC7">
          <w:rPr>
            <w:sz w:val="24"/>
            <w:szCs w:val="24"/>
          </w:rPr>
          <w:fldChar w:fldCharType="end"/>
        </w:r>
      </w:p>
    </w:sdtContent>
  </w:sdt>
  <w:p w:rsidR="000274D0" w:rsidRDefault="000274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174" w:rsidRDefault="008B3174">
      <w:r>
        <w:separator/>
      </w:r>
    </w:p>
  </w:footnote>
  <w:footnote w:type="continuationSeparator" w:id="1">
    <w:p w:rsidR="008B3174" w:rsidRDefault="008B31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4D0" w:rsidRDefault="000274D0" w:rsidP="009F0DEB">
    <w:pPr>
      <w:pStyle w:val="a3"/>
      <w:numPr>
        <w:ilvl w:val="0"/>
        <w:numId w:val="1"/>
      </w:numPr>
      <w:pBdr>
        <w:bottom w:val="none" w:sz="0" w:space="0" w:color="auto"/>
      </w:pBdr>
      <w:tabs>
        <w:tab w:val="clear" w:pos="4153"/>
        <w:tab w:val="clear" w:pos="8306"/>
      </w:tabs>
      <w:ind w:lef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B"/>
    <w:multiLevelType w:val="multilevel"/>
    <w:tmpl w:val="0000001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90"/>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B75"/>
    <w:rsid w:val="00000711"/>
    <w:rsid w:val="00004011"/>
    <w:rsid w:val="000064D9"/>
    <w:rsid w:val="00006809"/>
    <w:rsid w:val="00007ED1"/>
    <w:rsid w:val="00013EB2"/>
    <w:rsid w:val="000274D0"/>
    <w:rsid w:val="000360F3"/>
    <w:rsid w:val="0004273F"/>
    <w:rsid w:val="00042DE3"/>
    <w:rsid w:val="00043861"/>
    <w:rsid w:val="00045C99"/>
    <w:rsid w:val="00047138"/>
    <w:rsid w:val="00047F51"/>
    <w:rsid w:val="0005067F"/>
    <w:rsid w:val="00051B61"/>
    <w:rsid w:val="000621F9"/>
    <w:rsid w:val="000743C5"/>
    <w:rsid w:val="000819C2"/>
    <w:rsid w:val="00083E5A"/>
    <w:rsid w:val="00085E18"/>
    <w:rsid w:val="00097D0E"/>
    <w:rsid w:val="000A205C"/>
    <w:rsid w:val="000A38FF"/>
    <w:rsid w:val="000A57A4"/>
    <w:rsid w:val="000B10C2"/>
    <w:rsid w:val="000B314C"/>
    <w:rsid w:val="000B34DF"/>
    <w:rsid w:val="000B360B"/>
    <w:rsid w:val="000B65A2"/>
    <w:rsid w:val="000C06AD"/>
    <w:rsid w:val="000C4AF7"/>
    <w:rsid w:val="000D08C5"/>
    <w:rsid w:val="000D0F76"/>
    <w:rsid w:val="000D2987"/>
    <w:rsid w:val="000D440F"/>
    <w:rsid w:val="000D521F"/>
    <w:rsid w:val="000D7DA9"/>
    <w:rsid w:val="000E4741"/>
    <w:rsid w:val="000E527E"/>
    <w:rsid w:val="000F1EDE"/>
    <w:rsid w:val="000F503D"/>
    <w:rsid w:val="00100855"/>
    <w:rsid w:val="0010271F"/>
    <w:rsid w:val="0010445A"/>
    <w:rsid w:val="00106928"/>
    <w:rsid w:val="00107953"/>
    <w:rsid w:val="00110464"/>
    <w:rsid w:val="00110B5C"/>
    <w:rsid w:val="00110E1B"/>
    <w:rsid w:val="00112362"/>
    <w:rsid w:val="001152FF"/>
    <w:rsid w:val="00123591"/>
    <w:rsid w:val="001273D2"/>
    <w:rsid w:val="00133995"/>
    <w:rsid w:val="00141D59"/>
    <w:rsid w:val="00141FCB"/>
    <w:rsid w:val="00142194"/>
    <w:rsid w:val="00147D37"/>
    <w:rsid w:val="0015006D"/>
    <w:rsid w:val="001541FA"/>
    <w:rsid w:val="00160425"/>
    <w:rsid w:val="00161BD3"/>
    <w:rsid w:val="001776FF"/>
    <w:rsid w:val="00184DA2"/>
    <w:rsid w:val="001865AB"/>
    <w:rsid w:val="00192B85"/>
    <w:rsid w:val="001A4669"/>
    <w:rsid w:val="001A63AC"/>
    <w:rsid w:val="001B04DC"/>
    <w:rsid w:val="001B1E24"/>
    <w:rsid w:val="001C1ACF"/>
    <w:rsid w:val="001C4A2E"/>
    <w:rsid w:val="001C5B51"/>
    <w:rsid w:val="001D20D0"/>
    <w:rsid w:val="001D4D1B"/>
    <w:rsid w:val="001D6FE9"/>
    <w:rsid w:val="001E02B0"/>
    <w:rsid w:val="001E233B"/>
    <w:rsid w:val="001E3127"/>
    <w:rsid w:val="001E4FD1"/>
    <w:rsid w:val="001E7440"/>
    <w:rsid w:val="001F4289"/>
    <w:rsid w:val="00203458"/>
    <w:rsid w:val="00211E23"/>
    <w:rsid w:val="00214CD8"/>
    <w:rsid w:val="00223529"/>
    <w:rsid w:val="00223991"/>
    <w:rsid w:val="00227605"/>
    <w:rsid w:val="00232229"/>
    <w:rsid w:val="002359A2"/>
    <w:rsid w:val="00240241"/>
    <w:rsid w:val="00241B2C"/>
    <w:rsid w:val="002428B7"/>
    <w:rsid w:val="00243667"/>
    <w:rsid w:val="0024526E"/>
    <w:rsid w:val="002471E7"/>
    <w:rsid w:val="00250473"/>
    <w:rsid w:val="002505E3"/>
    <w:rsid w:val="00250672"/>
    <w:rsid w:val="00254A54"/>
    <w:rsid w:val="00256F26"/>
    <w:rsid w:val="00262635"/>
    <w:rsid w:val="00262982"/>
    <w:rsid w:val="002745F2"/>
    <w:rsid w:val="00276B75"/>
    <w:rsid w:val="00277D7B"/>
    <w:rsid w:val="00277D96"/>
    <w:rsid w:val="00282F3A"/>
    <w:rsid w:val="00285147"/>
    <w:rsid w:val="00292845"/>
    <w:rsid w:val="00293563"/>
    <w:rsid w:val="002941FE"/>
    <w:rsid w:val="002A7437"/>
    <w:rsid w:val="002B3CB3"/>
    <w:rsid w:val="002C462E"/>
    <w:rsid w:val="002C4C2C"/>
    <w:rsid w:val="002C511A"/>
    <w:rsid w:val="002C5C4E"/>
    <w:rsid w:val="002D30F1"/>
    <w:rsid w:val="002D351F"/>
    <w:rsid w:val="002E1283"/>
    <w:rsid w:val="002E478F"/>
    <w:rsid w:val="002E545F"/>
    <w:rsid w:val="002F1626"/>
    <w:rsid w:val="002F2137"/>
    <w:rsid w:val="002F256B"/>
    <w:rsid w:val="002F2B9C"/>
    <w:rsid w:val="002F3469"/>
    <w:rsid w:val="0030095A"/>
    <w:rsid w:val="00300A4A"/>
    <w:rsid w:val="00301BC6"/>
    <w:rsid w:val="003056AF"/>
    <w:rsid w:val="00306C3D"/>
    <w:rsid w:val="0031463A"/>
    <w:rsid w:val="00314944"/>
    <w:rsid w:val="00322FB5"/>
    <w:rsid w:val="003248B5"/>
    <w:rsid w:val="0032571A"/>
    <w:rsid w:val="00326472"/>
    <w:rsid w:val="003327C3"/>
    <w:rsid w:val="003338AD"/>
    <w:rsid w:val="0033485B"/>
    <w:rsid w:val="00342C27"/>
    <w:rsid w:val="00345486"/>
    <w:rsid w:val="00345C25"/>
    <w:rsid w:val="0035073F"/>
    <w:rsid w:val="0035121B"/>
    <w:rsid w:val="0035478F"/>
    <w:rsid w:val="00354B71"/>
    <w:rsid w:val="00371929"/>
    <w:rsid w:val="00371CAC"/>
    <w:rsid w:val="00371FFD"/>
    <w:rsid w:val="003759CB"/>
    <w:rsid w:val="00385343"/>
    <w:rsid w:val="00386BCF"/>
    <w:rsid w:val="00391DDF"/>
    <w:rsid w:val="003932C4"/>
    <w:rsid w:val="00394BA1"/>
    <w:rsid w:val="003A376E"/>
    <w:rsid w:val="003A394B"/>
    <w:rsid w:val="003A4F37"/>
    <w:rsid w:val="003B33B6"/>
    <w:rsid w:val="003C0463"/>
    <w:rsid w:val="003C197B"/>
    <w:rsid w:val="003C6B67"/>
    <w:rsid w:val="003C6B89"/>
    <w:rsid w:val="003D03A5"/>
    <w:rsid w:val="003D1DCC"/>
    <w:rsid w:val="003D20FF"/>
    <w:rsid w:val="003D54E8"/>
    <w:rsid w:val="003D6A49"/>
    <w:rsid w:val="003E0C05"/>
    <w:rsid w:val="003E3655"/>
    <w:rsid w:val="003E3CB1"/>
    <w:rsid w:val="003E5DFB"/>
    <w:rsid w:val="003E7DBF"/>
    <w:rsid w:val="003F170E"/>
    <w:rsid w:val="003F3859"/>
    <w:rsid w:val="004022FD"/>
    <w:rsid w:val="0040458C"/>
    <w:rsid w:val="00405A96"/>
    <w:rsid w:val="00407B26"/>
    <w:rsid w:val="004126B1"/>
    <w:rsid w:val="004149FA"/>
    <w:rsid w:val="004152BC"/>
    <w:rsid w:val="0042038E"/>
    <w:rsid w:val="004209C9"/>
    <w:rsid w:val="004261AB"/>
    <w:rsid w:val="00431786"/>
    <w:rsid w:val="004515EF"/>
    <w:rsid w:val="0046441E"/>
    <w:rsid w:val="004659E0"/>
    <w:rsid w:val="00467961"/>
    <w:rsid w:val="00470F2B"/>
    <w:rsid w:val="00472B97"/>
    <w:rsid w:val="00473FEC"/>
    <w:rsid w:val="00476917"/>
    <w:rsid w:val="00480CF3"/>
    <w:rsid w:val="004827F8"/>
    <w:rsid w:val="0048316F"/>
    <w:rsid w:val="004834E3"/>
    <w:rsid w:val="00483B41"/>
    <w:rsid w:val="00484AF6"/>
    <w:rsid w:val="00492F16"/>
    <w:rsid w:val="00494C33"/>
    <w:rsid w:val="004965B9"/>
    <w:rsid w:val="00497735"/>
    <w:rsid w:val="004A0037"/>
    <w:rsid w:val="004A2512"/>
    <w:rsid w:val="004A3BC0"/>
    <w:rsid w:val="004A61A5"/>
    <w:rsid w:val="004B1EC4"/>
    <w:rsid w:val="004B4186"/>
    <w:rsid w:val="004B68F3"/>
    <w:rsid w:val="004B7BC5"/>
    <w:rsid w:val="004C024F"/>
    <w:rsid w:val="004C59B1"/>
    <w:rsid w:val="004D5D6B"/>
    <w:rsid w:val="004E0ABD"/>
    <w:rsid w:val="004E11D4"/>
    <w:rsid w:val="004E1311"/>
    <w:rsid w:val="004E1398"/>
    <w:rsid w:val="004E1C31"/>
    <w:rsid w:val="004E2D79"/>
    <w:rsid w:val="004E3D81"/>
    <w:rsid w:val="004E4318"/>
    <w:rsid w:val="004E4FBA"/>
    <w:rsid w:val="004F35AA"/>
    <w:rsid w:val="004F398E"/>
    <w:rsid w:val="005002F7"/>
    <w:rsid w:val="005031F9"/>
    <w:rsid w:val="0050611D"/>
    <w:rsid w:val="0050715D"/>
    <w:rsid w:val="00515BE0"/>
    <w:rsid w:val="00524970"/>
    <w:rsid w:val="00526D10"/>
    <w:rsid w:val="0053509B"/>
    <w:rsid w:val="00535480"/>
    <w:rsid w:val="005355D4"/>
    <w:rsid w:val="005407B6"/>
    <w:rsid w:val="0054252C"/>
    <w:rsid w:val="00545ED5"/>
    <w:rsid w:val="005471BD"/>
    <w:rsid w:val="005479D5"/>
    <w:rsid w:val="00552E18"/>
    <w:rsid w:val="005605FA"/>
    <w:rsid w:val="005639D6"/>
    <w:rsid w:val="00564F5A"/>
    <w:rsid w:val="005651B8"/>
    <w:rsid w:val="00565675"/>
    <w:rsid w:val="00566B78"/>
    <w:rsid w:val="00573635"/>
    <w:rsid w:val="005745D3"/>
    <w:rsid w:val="00575A8E"/>
    <w:rsid w:val="00575BAA"/>
    <w:rsid w:val="0057776F"/>
    <w:rsid w:val="005811A8"/>
    <w:rsid w:val="00581B20"/>
    <w:rsid w:val="00596362"/>
    <w:rsid w:val="00597C08"/>
    <w:rsid w:val="005A1FE6"/>
    <w:rsid w:val="005A61A0"/>
    <w:rsid w:val="005A6255"/>
    <w:rsid w:val="005B107E"/>
    <w:rsid w:val="005B190D"/>
    <w:rsid w:val="005B425A"/>
    <w:rsid w:val="005B4263"/>
    <w:rsid w:val="005B4459"/>
    <w:rsid w:val="005B5F4F"/>
    <w:rsid w:val="005B619B"/>
    <w:rsid w:val="005B619D"/>
    <w:rsid w:val="005B6A06"/>
    <w:rsid w:val="005C2470"/>
    <w:rsid w:val="005C2973"/>
    <w:rsid w:val="005C3848"/>
    <w:rsid w:val="005C554B"/>
    <w:rsid w:val="005C6D1E"/>
    <w:rsid w:val="005D1B45"/>
    <w:rsid w:val="005D29A4"/>
    <w:rsid w:val="005D58D3"/>
    <w:rsid w:val="005D65E1"/>
    <w:rsid w:val="005D6E10"/>
    <w:rsid w:val="005D7D55"/>
    <w:rsid w:val="005E07CE"/>
    <w:rsid w:val="005E5667"/>
    <w:rsid w:val="005F7352"/>
    <w:rsid w:val="00602C72"/>
    <w:rsid w:val="00603D15"/>
    <w:rsid w:val="00605E41"/>
    <w:rsid w:val="00610690"/>
    <w:rsid w:val="006107E4"/>
    <w:rsid w:val="006110E0"/>
    <w:rsid w:val="006229B3"/>
    <w:rsid w:val="00625751"/>
    <w:rsid w:val="00633F39"/>
    <w:rsid w:val="00637625"/>
    <w:rsid w:val="0064320D"/>
    <w:rsid w:val="00645671"/>
    <w:rsid w:val="00647A87"/>
    <w:rsid w:val="00650517"/>
    <w:rsid w:val="006639F6"/>
    <w:rsid w:val="006650DB"/>
    <w:rsid w:val="0067159C"/>
    <w:rsid w:val="0068266D"/>
    <w:rsid w:val="00693C50"/>
    <w:rsid w:val="00693F47"/>
    <w:rsid w:val="006948C8"/>
    <w:rsid w:val="006A0F2D"/>
    <w:rsid w:val="006A30BF"/>
    <w:rsid w:val="006A35C1"/>
    <w:rsid w:val="006B14E8"/>
    <w:rsid w:val="006B1672"/>
    <w:rsid w:val="006B1B0E"/>
    <w:rsid w:val="006B2B27"/>
    <w:rsid w:val="006B625A"/>
    <w:rsid w:val="006C59B1"/>
    <w:rsid w:val="006D29EF"/>
    <w:rsid w:val="006D70AE"/>
    <w:rsid w:val="006E04C1"/>
    <w:rsid w:val="006E3973"/>
    <w:rsid w:val="006E627C"/>
    <w:rsid w:val="006E651C"/>
    <w:rsid w:val="006E7AE5"/>
    <w:rsid w:val="006F0D4F"/>
    <w:rsid w:val="006F124F"/>
    <w:rsid w:val="006F3077"/>
    <w:rsid w:val="00700963"/>
    <w:rsid w:val="007102CD"/>
    <w:rsid w:val="00710CAF"/>
    <w:rsid w:val="00711D83"/>
    <w:rsid w:val="0071449B"/>
    <w:rsid w:val="00714C8E"/>
    <w:rsid w:val="007225E6"/>
    <w:rsid w:val="007233FA"/>
    <w:rsid w:val="007252B0"/>
    <w:rsid w:val="007264C7"/>
    <w:rsid w:val="0072730A"/>
    <w:rsid w:val="007313D7"/>
    <w:rsid w:val="0073491A"/>
    <w:rsid w:val="0073492F"/>
    <w:rsid w:val="00740D71"/>
    <w:rsid w:val="00745B57"/>
    <w:rsid w:val="00746B45"/>
    <w:rsid w:val="007527F4"/>
    <w:rsid w:val="00752894"/>
    <w:rsid w:val="007532C0"/>
    <w:rsid w:val="00753C4B"/>
    <w:rsid w:val="00753DD7"/>
    <w:rsid w:val="007562E1"/>
    <w:rsid w:val="007619F4"/>
    <w:rsid w:val="00765C43"/>
    <w:rsid w:val="0077213C"/>
    <w:rsid w:val="00776D68"/>
    <w:rsid w:val="00780E54"/>
    <w:rsid w:val="007811C2"/>
    <w:rsid w:val="0078167C"/>
    <w:rsid w:val="007822A3"/>
    <w:rsid w:val="007867FE"/>
    <w:rsid w:val="00790401"/>
    <w:rsid w:val="00792820"/>
    <w:rsid w:val="00792A43"/>
    <w:rsid w:val="00794671"/>
    <w:rsid w:val="007963A0"/>
    <w:rsid w:val="0079772F"/>
    <w:rsid w:val="007A2040"/>
    <w:rsid w:val="007A38FF"/>
    <w:rsid w:val="007A439A"/>
    <w:rsid w:val="007A4561"/>
    <w:rsid w:val="007A4C7E"/>
    <w:rsid w:val="007A7347"/>
    <w:rsid w:val="007A7D79"/>
    <w:rsid w:val="007B0B55"/>
    <w:rsid w:val="007B3050"/>
    <w:rsid w:val="007C0975"/>
    <w:rsid w:val="007C68A6"/>
    <w:rsid w:val="007C7645"/>
    <w:rsid w:val="007D00B8"/>
    <w:rsid w:val="007D1D6E"/>
    <w:rsid w:val="007D7089"/>
    <w:rsid w:val="007D783F"/>
    <w:rsid w:val="007D7BD0"/>
    <w:rsid w:val="007F0E9E"/>
    <w:rsid w:val="007F45E9"/>
    <w:rsid w:val="007F7851"/>
    <w:rsid w:val="00800004"/>
    <w:rsid w:val="0080297B"/>
    <w:rsid w:val="00807856"/>
    <w:rsid w:val="00810ACA"/>
    <w:rsid w:val="008123B9"/>
    <w:rsid w:val="00816171"/>
    <w:rsid w:val="0081788C"/>
    <w:rsid w:val="00824211"/>
    <w:rsid w:val="00830C19"/>
    <w:rsid w:val="00833BAB"/>
    <w:rsid w:val="008366ED"/>
    <w:rsid w:val="008570B0"/>
    <w:rsid w:val="0086437B"/>
    <w:rsid w:val="008649CA"/>
    <w:rsid w:val="008739F4"/>
    <w:rsid w:val="008856E1"/>
    <w:rsid w:val="00887B7E"/>
    <w:rsid w:val="00893697"/>
    <w:rsid w:val="00894067"/>
    <w:rsid w:val="008949A7"/>
    <w:rsid w:val="008950C2"/>
    <w:rsid w:val="008A0532"/>
    <w:rsid w:val="008A3CF9"/>
    <w:rsid w:val="008B2F0B"/>
    <w:rsid w:val="008B3174"/>
    <w:rsid w:val="008B3B1B"/>
    <w:rsid w:val="008C296B"/>
    <w:rsid w:val="008C5F97"/>
    <w:rsid w:val="008D36A9"/>
    <w:rsid w:val="008D7475"/>
    <w:rsid w:val="008D7842"/>
    <w:rsid w:val="008E34C7"/>
    <w:rsid w:val="008F389C"/>
    <w:rsid w:val="009020FE"/>
    <w:rsid w:val="009031E0"/>
    <w:rsid w:val="00903D05"/>
    <w:rsid w:val="00910C95"/>
    <w:rsid w:val="009133F1"/>
    <w:rsid w:val="00914FDE"/>
    <w:rsid w:val="009150BB"/>
    <w:rsid w:val="009262FC"/>
    <w:rsid w:val="00930B2F"/>
    <w:rsid w:val="00941681"/>
    <w:rsid w:val="00947DF7"/>
    <w:rsid w:val="00950DD7"/>
    <w:rsid w:val="009533DC"/>
    <w:rsid w:val="009533DD"/>
    <w:rsid w:val="00954ADA"/>
    <w:rsid w:val="00954B8B"/>
    <w:rsid w:val="0096139D"/>
    <w:rsid w:val="00983C9C"/>
    <w:rsid w:val="0098686E"/>
    <w:rsid w:val="009878EB"/>
    <w:rsid w:val="009928E6"/>
    <w:rsid w:val="009A28CA"/>
    <w:rsid w:val="009A453D"/>
    <w:rsid w:val="009B18B1"/>
    <w:rsid w:val="009B7A14"/>
    <w:rsid w:val="009C55B9"/>
    <w:rsid w:val="009C7D41"/>
    <w:rsid w:val="009D1B03"/>
    <w:rsid w:val="009D6B95"/>
    <w:rsid w:val="009E0AFB"/>
    <w:rsid w:val="009E178A"/>
    <w:rsid w:val="009F0C0B"/>
    <w:rsid w:val="009F0C27"/>
    <w:rsid w:val="009F0DEB"/>
    <w:rsid w:val="00A0372E"/>
    <w:rsid w:val="00A03B7F"/>
    <w:rsid w:val="00A05189"/>
    <w:rsid w:val="00A13323"/>
    <w:rsid w:val="00A216E8"/>
    <w:rsid w:val="00A25B68"/>
    <w:rsid w:val="00A274F8"/>
    <w:rsid w:val="00A40CC0"/>
    <w:rsid w:val="00A44BB3"/>
    <w:rsid w:val="00A531B3"/>
    <w:rsid w:val="00A53F7E"/>
    <w:rsid w:val="00A559E0"/>
    <w:rsid w:val="00A56EFC"/>
    <w:rsid w:val="00A57508"/>
    <w:rsid w:val="00A64F85"/>
    <w:rsid w:val="00A70768"/>
    <w:rsid w:val="00A75ABB"/>
    <w:rsid w:val="00A77C13"/>
    <w:rsid w:val="00A82548"/>
    <w:rsid w:val="00A84DEE"/>
    <w:rsid w:val="00A861E0"/>
    <w:rsid w:val="00A918D1"/>
    <w:rsid w:val="00A928C4"/>
    <w:rsid w:val="00A92EEF"/>
    <w:rsid w:val="00A95FEB"/>
    <w:rsid w:val="00AA1A5D"/>
    <w:rsid w:val="00AA5A10"/>
    <w:rsid w:val="00AA5F5E"/>
    <w:rsid w:val="00AA6D14"/>
    <w:rsid w:val="00AB1BC4"/>
    <w:rsid w:val="00AC0389"/>
    <w:rsid w:val="00AC0604"/>
    <w:rsid w:val="00AC26C8"/>
    <w:rsid w:val="00AC7A6B"/>
    <w:rsid w:val="00AD17AB"/>
    <w:rsid w:val="00AD2085"/>
    <w:rsid w:val="00AD20B7"/>
    <w:rsid w:val="00AD55CB"/>
    <w:rsid w:val="00AE3088"/>
    <w:rsid w:val="00AE5B53"/>
    <w:rsid w:val="00AE7F7B"/>
    <w:rsid w:val="00AF1536"/>
    <w:rsid w:val="00AF1E50"/>
    <w:rsid w:val="00AF50C6"/>
    <w:rsid w:val="00AF7737"/>
    <w:rsid w:val="00B05F8D"/>
    <w:rsid w:val="00B14120"/>
    <w:rsid w:val="00B1698A"/>
    <w:rsid w:val="00B20ACB"/>
    <w:rsid w:val="00B2166F"/>
    <w:rsid w:val="00B26C15"/>
    <w:rsid w:val="00B301DB"/>
    <w:rsid w:val="00B306BE"/>
    <w:rsid w:val="00B30BDC"/>
    <w:rsid w:val="00B31B21"/>
    <w:rsid w:val="00B328D4"/>
    <w:rsid w:val="00B41835"/>
    <w:rsid w:val="00B43305"/>
    <w:rsid w:val="00B44FD4"/>
    <w:rsid w:val="00B5109A"/>
    <w:rsid w:val="00B51C22"/>
    <w:rsid w:val="00B5205E"/>
    <w:rsid w:val="00B529D5"/>
    <w:rsid w:val="00B561DD"/>
    <w:rsid w:val="00B61E99"/>
    <w:rsid w:val="00B6758B"/>
    <w:rsid w:val="00B72673"/>
    <w:rsid w:val="00B80E91"/>
    <w:rsid w:val="00B9419D"/>
    <w:rsid w:val="00B94798"/>
    <w:rsid w:val="00B975C6"/>
    <w:rsid w:val="00B975F4"/>
    <w:rsid w:val="00BA0494"/>
    <w:rsid w:val="00BA159A"/>
    <w:rsid w:val="00BA3801"/>
    <w:rsid w:val="00BB480D"/>
    <w:rsid w:val="00BC0287"/>
    <w:rsid w:val="00BC2981"/>
    <w:rsid w:val="00BC45EF"/>
    <w:rsid w:val="00BC5AA2"/>
    <w:rsid w:val="00BC72BE"/>
    <w:rsid w:val="00BD58F4"/>
    <w:rsid w:val="00BD650F"/>
    <w:rsid w:val="00BE360D"/>
    <w:rsid w:val="00BF18BC"/>
    <w:rsid w:val="00BF2BE3"/>
    <w:rsid w:val="00BF39DE"/>
    <w:rsid w:val="00BF4C51"/>
    <w:rsid w:val="00BF7959"/>
    <w:rsid w:val="00C00BF7"/>
    <w:rsid w:val="00C02857"/>
    <w:rsid w:val="00C02C5F"/>
    <w:rsid w:val="00C07600"/>
    <w:rsid w:val="00C114B2"/>
    <w:rsid w:val="00C215D4"/>
    <w:rsid w:val="00C22127"/>
    <w:rsid w:val="00C2295F"/>
    <w:rsid w:val="00C24C6A"/>
    <w:rsid w:val="00C31E37"/>
    <w:rsid w:val="00C32E96"/>
    <w:rsid w:val="00C34B68"/>
    <w:rsid w:val="00C4492E"/>
    <w:rsid w:val="00C458FB"/>
    <w:rsid w:val="00C467C1"/>
    <w:rsid w:val="00C5416F"/>
    <w:rsid w:val="00C56438"/>
    <w:rsid w:val="00C62489"/>
    <w:rsid w:val="00C626DC"/>
    <w:rsid w:val="00C62CB2"/>
    <w:rsid w:val="00C6376E"/>
    <w:rsid w:val="00C75E14"/>
    <w:rsid w:val="00C76D2F"/>
    <w:rsid w:val="00C85ED4"/>
    <w:rsid w:val="00C874A7"/>
    <w:rsid w:val="00C90E02"/>
    <w:rsid w:val="00C91D31"/>
    <w:rsid w:val="00C97358"/>
    <w:rsid w:val="00CA3F2A"/>
    <w:rsid w:val="00CB3BD5"/>
    <w:rsid w:val="00CB4B21"/>
    <w:rsid w:val="00CB55EA"/>
    <w:rsid w:val="00CC20A2"/>
    <w:rsid w:val="00CC293B"/>
    <w:rsid w:val="00CC69D0"/>
    <w:rsid w:val="00CE2760"/>
    <w:rsid w:val="00CE639B"/>
    <w:rsid w:val="00CE7943"/>
    <w:rsid w:val="00CF1BE0"/>
    <w:rsid w:val="00CF4FAB"/>
    <w:rsid w:val="00CF7D8A"/>
    <w:rsid w:val="00D01DF1"/>
    <w:rsid w:val="00D056DA"/>
    <w:rsid w:val="00D05F2E"/>
    <w:rsid w:val="00D07DBB"/>
    <w:rsid w:val="00D10ED5"/>
    <w:rsid w:val="00D14352"/>
    <w:rsid w:val="00D14E11"/>
    <w:rsid w:val="00D24C37"/>
    <w:rsid w:val="00D25AC7"/>
    <w:rsid w:val="00D27C4E"/>
    <w:rsid w:val="00D361A1"/>
    <w:rsid w:val="00D436DF"/>
    <w:rsid w:val="00D44EEA"/>
    <w:rsid w:val="00D45CAB"/>
    <w:rsid w:val="00D47940"/>
    <w:rsid w:val="00D5247D"/>
    <w:rsid w:val="00D5349F"/>
    <w:rsid w:val="00D61451"/>
    <w:rsid w:val="00D62091"/>
    <w:rsid w:val="00D67E9D"/>
    <w:rsid w:val="00D87966"/>
    <w:rsid w:val="00D87B65"/>
    <w:rsid w:val="00D87D62"/>
    <w:rsid w:val="00D9094C"/>
    <w:rsid w:val="00D93C29"/>
    <w:rsid w:val="00DA1297"/>
    <w:rsid w:val="00DA6F02"/>
    <w:rsid w:val="00DC4CF1"/>
    <w:rsid w:val="00DD102F"/>
    <w:rsid w:val="00DD2CB0"/>
    <w:rsid w:val="00DD5121"/>
    <w:rsid w:val="00DD76D6"/>
    <w:rsid w:val="00DE60A4"/>
    <w:rsid w:val="00DF07D6"/>
    <w:rsid w:val="00DF168C"/>
    <w:rsid w:val="00DF3B46"/>
    <w:rsid w:val="00DF629A"/>
    <w:rsid w:val="00E01CB9"/>
    <w:rsid w:val="00E0467D"/>
    <w:rsid w:val="00E11F3F"/>
    <w:rsid w:val="00E14031"/>
    <w:rsid w:val="00E22831"/>
    <w:rsid w:val="00E23FD8"/>
    <w:rsid w:val="00E24DC9"/>
    <w:rsid w:val="00E3111E"/>
    <w:rsid w:val="00E32EF1"/>
    <w:rsid w:val="00E33A16"/>
    <w:rsid w:val="00E4114D"/>
    <w:rsid w:val="00E42061"/>
    <w:rsid w:val="00E50E1E"/>
    <w:rsid w:val="00E604B9"/>
    <w:rsid w:val="00E65BC4"/>
    <w:rsid w:val="00E67998"/>
    <w:rsid w:val="00E71F1A"/>
    <w:rsid w:val="00E77988"/>
    <w:rsid w:val="00E80F1F"/>
    <w:rsid w:val="00E8226A"/>
    <w:rsid w:val="00E941CE"/>
    <w:rsid w:val="00E95EF1"/>
    <w:rsid w:val="00EA25F2"/>
    <w:rsid w:val="00EA3E54"/>
    <w:rsid w:val="00EA61E7"/>
    <w:rsid w:val="00EA7F1D"/>
    <w:rsid w:val="00EB1BE1"/>
    <w:rsid w:val="00EC5F82"/>
    <w:rsid w:val="00EC6E12"/>
    <w:rsid w:val="00ED0159"/>
    <w:rsid w:val="00ED50A1"/>
    <w:rsid w:val="00EE036E"/>
    <w:rsid w:val="00EE39A3"/>
    <w:rsid w:val="00EE4078"/>
    <w:rsid w:val="00EE5861"/>
    <w:rsid w:val="00EE631F"/>
    <w:rsid w:val="00EE6BBD"/>
    <w:rsid w:val="00EF2BAB"/>
    <w:rsid w:val="00EF5305"/>
    <w:rsid w:val="00F00429"/>
    <w:rsid w:val="00F046D1"/>
    <w:rsid w:val="00F06675"/>
    <w:rsid w:val="00F13A8B"/>
    <w:rsid w:val="00F13E5E"/>
    <w:rsid w:val="00F14A88"/>
    <w:rsid w:val="00F15E03"/>
    <w:rsid w:val="00F2053F"/>
    <w:rsid w:val="00F238D6"/>
    <w:rsid w:val="00F23F1E"/>
    <w:rsid w:val="00F310FD"/>
    <w:rsid w:val="00F42EEE"/>
    <w:rsid w:val="00F47F0A"/>
    <w:rsid w:val="00F50531"/>
    <w:rsid w:val="00F5786A"/>
    <w:rsid w:val="00F6214A"/>
    <w:rsid w:val="00F6249A"/>
    <w:rsid w:val="00F63788"/>
    <w:rsid w:val="00F653A2"/>
    <w:rsid w:val="00F6744F"/>
    <w:rsid w:val="00F745F9"/>
    <w:rsid w:val="00F77BC5"/>
    <w:rsid w:val="00F81EE3"/>
    <w:rsid w:val="00F92B09"/>
    <w:rsid w:val="00F93C0E"/>
    <w:rsid w:val="00F95328"/>
    <w:rsid w:val="00F96375"/>
    <w:rsid w:val="00FA1C45"/>
    <w:rsid w:val="00FA2CB4"/>
    <w:rsid w:val="00FA4549"/>
    <w:rsid w:val="00FA7ABC"/>
    <w:rsid w:val="00FB02E3"/>
    <w:rsid w:val="00FB3A91"/>
    <w:rsid w:val="00FB57BF"/>
    <w:rsid w:val="00FB791E"/>
    <w:rsid w:val="00FD5993"/>
    <w:rsid w:val="00FE0537"/>
    <w:rsid w:val="00FE0E83"/>
    <w:rsid w:val="00FE5476"/>
    <w:rsid w:val="00FE56A7"/>
    <w:rsid w:val="00FF1A67"/>
    <w:rsid w:val="00FF1E6F"/>
    <w:rsid w:val="00FF2ECC"/>
    <w:rsid w:val="00FF33A7"/>
    <w:rsid w:val="00FF45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B75"/>
    <w:pPr>
      <w:widowControl w:val="0"/>
      <w:jc w:val="both"/>
    </w:pPr>
    <w:rPr>
      <w:kern w:val="2"/>
      <w:sz w:val="21"/>
      <w:szCs w:val="22"/>
    </w:rPr>
  </w:style>
  <w:style w:type="paragraph" w:styleId="1">
    <w:name w:val="heading 1"/>
    <w:basedOn w:val="a"/>
    <w:next w:val="a"/>
    <w:link w:val="1Char"/>
    <w:qFormat/>
    <w:rsid w:val="001E233B"/>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1E233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0360F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76B75"/>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276B75"/>
    <w:rPr>
      <w:rFonts w:ascii="Calibri" w:eastAsia="宋体" w:hAnsi="Calibri" w:cs="Times New Roman"/>
      <w:sz w:val="18"/>
      <w:szCs w:val="18"/>
    </w:rPr>
  </w:style>
  <w:style w:type="paragraph" w:styleId="a4">
    <w:name w:val="footer"/>
    <w:basedOn w:val="a"/>
    <w:link w:val="Char0"/>
    <w:uiPriority w:val="99"/>
    <w:unhideWhenUsed/>
    <w:rsid w:val="00276B75"/>
    <w:pPr>
      <w:tabs>
        <w:tab w:val="center" w:pos="4153"/>
        <w:tab w:val="right" w:pos="8306"/>
      </w:tabs>
      <w:snapToGrid w:val="0"/>
      <w:jc w:val="left"/>
    </w:pPr>
    <w:rPr>
      <w:kern w:val="0"/>
      <w:sz w:val="18"/>
      <w:szCs w:val="18"/>
    </w:rPr>
  </w:style>
  <w:style w:type="character" w:customStyle="1" w:styleId="Char0">
    <w:name w:val="页脚 Char"/>
    <w:link w:val="a4"/>
    <w:uiPriority w:val="99"/>
    <w:rsid w:val="00276B75"/>
    <w:rPr>
      <w:rFonts w:ascii="Calibri" w:eastAsia="宋体" w:hAnsi="Calibri" w:cs="Times New Roman"/>
      <w:sz w:val="18"/>
      <w:szCs w:val="18"/>
    </w:rPr>
  </w:style>
  <w:style w:type="paragraph" w:customStyle="1" w:styleId="Default">
    <w:name w:val="Default"/>
    <w:rsid w:val="00276B75"/>
    <w:pPr>
      <w:widowControl w:val="0"/>
      <w:autoSpaceDE w:val="0"/>
      <w:autoSpaceDN w:val="0"/>
      <w:adjustRightInd w:val="0"/>
    </w:pPr>
    <w:rPr>
      <w:rFonts w:ascii="宋体" w:cs="宋体"/>
      <w:color w:val="000000"/>
      <w:sz w:val="24"/>
      <w:szCs w:val="24"/>
    </w:rPr>
  </w:style>
  <w:style w:type="table" w:styleId="a5">
    <w:name w:val="Table Grid"/>
    <w:basedOn w:val="a1"/>
    <w:uiPriority w:val="59"/>
    <w:rsid w:val="000D0F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semiHidden/>
    <w:unhideWhenUsed/>
    <w:rsid w:val="002629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character" w:customStyle="1" w:styleId="HTMLChar">
    <w:name w:val="HTML 预设格式 Char"/>
    <w:link w:val="HTML"/>
    <w:uiPriority w:val="99"/>
    <w:semiHidden/>
    <w:rsid w:val="00262982"/>
    <w:rPr>
      <w:rFonts w:ascii="Arial" w:hAnsi="Arial" w:cs="Arial"/>
      <w:sz w:val="24"/>
      <w:szCs w:val="24"/>
    </w:rPr>
  </w:style>
  <w:style w:type="paragraph" w:styleId="a6">
    <w:name w:val="Balloon Text"/>
    <w:basedOn w:val="a"/>
    <w:link w:val="Char1"/>
    <w:uiPriority w:val="99"/>
    <w:semiHidden/>
    <w:unhideWhenUsed/>
    <w:rsid w:val="001776FF"/>
    <w:rPr>
      <w:sz w:val="18"/>
      <w:szCs w:val="18"/>
    </w:rPr>
  </w:style>
  <w:style w:type="character" w:customStyle="1" w:styleId="Char1">
    <w:name w:val="批注框文本 Char"/>
    <w:link w:val="a6"/>
    <w:uiPriority w:val="99"/>
    <w:semiHidden/>
    <w:rsid w:val="001776FF"/>
    <w:rPr>
      <w:kern w:val="2"/>
      <w:sz w:val="18"/>
      <w:szCs w:val="18"/>
    </w:rPr>
  </w:style>
  <w:style w:type="character" w:customStyle="1" w:styleId="1Char">
    <w:name w:val="标题 1 Char"/>
    <w:link w:val="1"/>
    <w:rsid w:val="001E233B"/>
    <w:rPr>
      <w:b/>
      <w:bCs/>
      <w:kern w:val="44"/>
      <w:sz w:val="44"/>
      <w:szCs w:val="44"/>
    </w:rPr>
  </w:style>
  <w:style w:type="paragraph" w:styleId="TOC">
    <w:name w:val="TOC Heading"/>
    <w:basedOn w:val="1"/>
    <w:next w:val="a"/>
    <w:uiPriority w:val="39"/>
    <w:semiHidden/>
    <w:unhideWhenUsed/>
    <w:qFormat/>
    <w:rsid w:val="001E233B"/>
    <w:pPr>
      <w:widowControl/>
      <w:spacing w:before="480" w:after="0" w:line="276" w:lineRule="auto"/>
      <w:jc w:val="left"/>
      <w:outlineLvl w:val="9"/>
    </w:pPr>
    <w:rPr>
      <w:rFonts w:ascii="Cambria" w:hAnsi="Cambria"/>
      <w:color w:val="365F91"/>
      <w:kern w:val="0"/>
      <w:sz w:val="28"/>
      <w:szCs w:val="28"/>
    </w:rPr>
  </w:style>
  <w:style w:type="character" w:customStyle="1" w:styleId="2Char">
    <w:name w:val="标题 2 Char"/>
    <w:link w:val="2"/>
    <w:rsid w:val="001E233B"/>
    <w:rPr>
      <w:rFonts w:ascii="Cambria" w:eastAsia="宋体" w:hAnsi="Cambria" w:cs="Times New Roman"/>
      <w:b/>
      <w:bCs/>
      <w:kern w:val="2"/>
      <w:sz w:val="32"/>
      <w:szCs w:val="32"/>
    </w:rPr>
  </w:style>
  <w:style w:type="paragraph" w:styleId="10">
    <w:name w:val="toc 1"/>
    <w:basedOn w:val="a"/>
    <w:next w:val="a"/>
    <w:autoRedefine/>
    <w:uiPriority w:val="39"/>
    <w:unhideWhenUsed/>
    <w:rsid w:val="008739F4"/>
  </w:style>
  <w:style w:type="paragraph" w:styleId="20">
    <w:name w:val="toc 2"/>
    <w:basedOn w:val="a"/>
    <w:next w:val="a"/>
    <w:autoRedefine/>
    <w:uiPriority w:val="39"/>
    <w:unhideWhenUsed/>
    <w:rsid w:val="008739F4"/>
    <w:pPr>
      <w:ind w:leftChars="200" w:left="420"/>
    </w:pPr>
  </w:style>
  <w:style w:type="character" w:styleId="a7">
    <w:name w:val="Hyperlink"/>
    <w:uiPriority w:val="99"/>
    <w:unhideWhenUsed/>
    <w:rsid w:val="008739F4"/>
    <w:rPr>
      <w:color w:val="0000FF"/>
      <w:u w:val="single"/>
    </w:rPr>
  </w:style>
  <w:style w:type="paragraph" w:styleId="a8">
    <w:name w:val="Date"/>
    <w:basedOn w:val="a"/>
    <w:next w:val="a"/>
    <w:link w:val="Char2"/>
    <w:uiPriority w:val="99"/>
    <w:semiHidden/>
    <w:unhideWhenUsed/>
    <w:rsid w:val="00954ADA"/>
    <w:pPr>
      <w:ind w:leftChars="2500" w:left="100"/>
    </w:pPr>
  </w:style>
  <w:style w:type="character" w:customStyle="1" w:styleId="Char2">
    <w:name w:val="日期 Char"/>
    <w:link w:val="a8"/>
    <w:uiPriority w:val="99"/>
    <w:semiHidden/>
    <w:rsid w:val="00954ADA"/>
    <w:rPr>
      <w:kern w:val="2"/>
      <w:sz w:val="21"/>
      <w:szCs w:val="22"/>
    </w:rPr>
  </w:style>
  <w:style w:type="character" w:styleId="a9">
    <w:name w:val="Emphasis"/>
    <w:uiPriority w:val="20"/>
    <w:qFormat/>
    <w:rsid w:val="005605FA"/>
    <w:rPr>
      <w:i w:val="0"/>
      <w:iCs w:val="0"/>
      <w:color w:val="CC0000"/>
    </w:rPr>
  </w:style>
  <w:style w:type="character" w:customStyle="1" w:styleId="3Char">
    <w:name w:val="标题 3 Char"/>
    <w:link w:val="3"/>
    <w:uiPriority w:val="9"/>
    <w:rsid w:val="000360F3"/>
    <w:rPr>
      <w:b/>
      <w:bCs/>
      <w:kern w:val="2"/>
      <w:sz w:val="32"/>
      <w:szCs w:val="32"/>
    </w:rPr>
  </w:style>
  <w:style w:type="paragraph" w:styleId="30">
    <w:name w:val="toc 3"/>
    <w:basedOn w:val="a"/>
    <w:next w:val="a"/>
    <w:autoRedefine/>
    <w:uiPriority w:val="39"/>
    <w:unhideWhenUsed/>
    <w:rsid w:val="00F00429"/>
    <w:pPr>
      <w:ind w:leftChars="400" w:left="840"/>
    </w:pPr>
  </w:style>
  <w:style w:type="paragraph" w:styleId="aa">
    <w:name w:val="annotation text"/>
    <w:basedOn w:val="a"/>
    <w:link w:val="Char3"/>
    <w:uiPriority w:val="99"/>
    <w:semiHidden/>
    <w:unhideWhenUsed/>
    <w:rsid w:val="00A216E8"/>
    <w:pPr>
      <w:jc w:val="left"/>
    </w:pPr>
  </w:style>
  <w:style w:type="character" w:customStyle="1" w:styleId="Char3">
    <w:name w:val="批注文字 Char"/>
    <w:basedOn w:val="a0"/>
    <w:link w:val="aa"/>
    <w:uiPriority w:val="99"/>
    <w:semiHidden/>
    <w:rsid w:val="00A216E8"/>
    <w:rPr>
      <w:kern w:val="2"/>
      <w:sz w:val="21"/>
      <w:szCs w:val="22"/>
    </w:rPr>
  </w:style>
  <w:style w:type="character" w:styleId="ab">
    <w:name w:val="annotation reference"/>
    <w:uiPriority w:val="99"/>
    <w:semiHidden/>
    <w:unhideWhenUsed/>
    <w:rsid w:val="00A216E8"/>
    <w:rPr>
      <w:sz w:val="21"/>
      <w:szCs w:val="21"/>
    </w:rPr>
  </w:style>
  <w:style w:type="character" w:styleId="ac">
    <w:name w:val="page number"/>
    <w:rsid w:val="009F0DEB"/>
    <w:rPr>
      <w:rFonts w:ascii="Times New Roman" w:eastAsia="宋体" w:hAnsi="Times New Roman"/>
      <w:sz w:val="18"/>
    </w:rPr>
  </w:style>
  <w:style w:type="paragraph" w:styleId="ad">
    <w:name w:val="Normal Indent"/>
    <w:basedOn w:val="a"/>
    <w:rsid w:val="00633F39"/>
    <w:pPr>
      <w:ind w:firstLineChars="200" w:firstLine="420"/>
    </w:pPr>
    <w:rPr>
      <w:rFonts w:ascii="Times New Roman" w:hAnsi="Times New Roman"/>
      <w:szCs w:val="24"/>
    </w:rPr>
  </w:style>
  <w:style w:type="paragraph" w:customStyle="1" w:styleId="ae">
    <w:name w:val="列项——（一级）"/>
    <w:rsid w:val="00633F39"/>
    <w:pPr>
      <w:widowControl w:val="0"/>
      <w:ind w:left="828" w:hanging="408"/>
      <w:jc w:val="both"/>
    </w:pPr>
    <w:rPr>
      <w:rFonts w:ascii="宋体" w:hAnsi="Times New Roman"/>
      <w:sz w:val="21"/>
      <w:szCs w:val="22"/>
    </w:rPr>
  </w:style>
  <w:style w:type="paragraph" w:styleId="af">
    <w:name w:val="annotation subject"/>
    <w:basedOn w:val="aa"/>
    <w:next w:val="aa"/>
    <w:link w:val="Char4"/>
    <w:uiPriority w:val="99"/>
    <w:semiHidden/>
    <w:unhideWhenUsed/>
    <w:rsid w:val="00D87966"/>
    <w:rPr>
      <w:b/>
      <w:bCs/>
    </w:rPr>
  </w:style>
  <w:style w:type="character" w:customStyle="1" w:styleId="Char4">
    <w:name w:val="批注主题 Char"/>
    <w:basedOn w:val="Char3"/>
    <w:link w:val="af"/>
    <w:uiPriority w:val="99"/>
    <w:semiHidden/>
    <w:rsid w:val="00D87966"/>
    <w:rPr>
      <w:b/>
      <w:bCs/>
      <w:kern w:val="2"/>
      <w:sz w:val="21"/>
      <w:szCs w:val="22"/>
    </w:rPr>
  </w:style>
  <w:style w:type="paragraph" w:styleId="af0">
    <w:name w:val="Revision"/>
    <w:hidden/>
    <w:uiPriority w:val="99"/>
    <w:semiHidden/>
    <w:rsid w:val="00D87966"/>
    <w:rPr>
      <w:kern w:val="2"/>
      <w:sz w:val="21"/>
      <w:szCs w:val="22"/>
    </w:rPr>
  </w:style>
  <w:style w:type="paragraph" w:customStyle="1" w:styleId="af1">
    <w:name w:val="段"/>
    <w:link w:val="Char5"/>
    <w:uiPriority w:val="99"/>
    <w:rsid w:val="001E02B0"/>
    <w:pPr>
      <w:tabs>
        <w:tab w:val="center" w:pos="4201"/>
        <w:tab w:val="right" w:leader="dot" w:pos="9298"/>
      </w:tabs>
      <w:autoSpaceDE w:val="0"/>
      <w:autoSpaceDN w:val="0"/>
      <w:ind w:firstLineChars="200" w:firstLine="420"/>
      <w:jc w:val="both"/>
    </w:pPr>
    <w:rPr>
      <w:rFonts w:ascii="宋体" w:hAnsi="Times New Roman"/>
      <w:kern w:val="2"/>
      <w:sz w:val="21"/>
      <w:szCs w:val="22"/>
    </w:rPr>
  </w:style>
  <w:style w:type="character" w:customStyle="1" w:styleId="Char5">
    <w:name w:val="段 Char"/>
    <w:link w:val="af1"/>
    <w:uiPriority w:val="99"/>
    <w:rsid w:val="001E02B0"/>
    <w:rPr>
      <w:rFonts w:ascii="宋体" w:hAnsi="Times New Roman"/>
      <w:kern w:val="2"/>
      <w:sz w:val="21"/>
      <w:szCs w:val="22"/>
    </w:rPr>
  </w:style>
  <w:style w:type="character" w:styleId="af2">
    <w:name w:val="Placeholder Text"/>
    <w:basedOn w:val="a0"/>
    <w:uiPriority w:val="99"/>
    <w:semiHidden/>
    <w:rsid w:val="00CA3F2A"/>
    <w:rPr>
      <w:color w:val="808080"/>
    </w:rPr>
  </w:style>
  <w:style w:type="paragraph" w:customStyle="1" w:styleId="af3">
    <w:name w:val="附录公式编号制表符"/>
    <w:basedOn w:val="a"/>
    <w:next w:val="af1"/>
    <w:qFormat/>
    <w:rsid w:val="00792820"/>
    <w:pPr>
      <w:widowControl/>
      <w:tabs>
        <w:tab w:val="center" w:pos="4201"/>
        <w:tab w:val="right" w:leader="dot" w:pos="9298"/>
      </w:tabs>
      <w:autoSpaceDE w:val="0"/>
      <w:autoSpaceDN w:val="0"/>
    </w:pPr>
    <w:rPr>
      <w:rFonts w:ascii="宋体" w:hAnsi="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0507789">
      <w:bodyDiv w:val="1"/>
      <w:marLeft w:val="0"/>
      <w:marRight w:val="0"/>
      <w:marTop w:val="0"/>
      <w:marBottom w:val="0"/>
      <w:divBdr>
        <w:top w:val="none" w:sz="0" w:space="0" w:color="auto"/>
        <w:left w:val="none" w:sz="0" w:space="0" w:color="auto"/>
        <w:bottom w:val="none" w:sz="0" w:space="0" w:color="auto"/>
        <w:right w:val="none" w:sz="0" w:space="0" w:color="auto"/>
      </w:divBdr>
    </w:div>
    <w:div w:id="729617655">
      <w:bodyDiv w:val="1"/>
      <w:marLeft w:val="0"/>
      <w:marRight w:val="0"/>
      <w:marTop w:val="0"/>
      <w:marBottom w:val="0"/>
      <w:divBdr>
        <w:top w:val="none" w:sz="0" w:space="0" w:color="auto"/>
        <w:left w:val="none" w:sz="0" w:space="0" w:color="auto"/>
        <w:bottom w:val="none" w:sz="0" w:space="0" w:color="auto"/>
        <w:right w:val="none" w:sz="0" w:space="0" w:color="auto"/>
      </w:divBdr>
    </w:div>
    <w:div w:id="1397587806">
      <w:bodyDiv w:val="1"/>
      <w:marLeft w:val="0"/>
      <w:marRight w:val="0"/>
      <w:marTop w:val="0"/>
      <w:marBottom w:val="0"/>
      <w:divBdr>
        <w:top w:val="none" w:sz="0" w:space="0" w:color="auto"/>
        <w:left w:val="none" w:sz="0" w:space="0" w:color="auto"/>
        <w:bottom w:val="none" w:sz="0" w:space="0" w:color="auto"/>
        <w:right w:val="none" w:sz="0" w:space="0" w:color="auto"/>
      </w:divBdr>
    </w:div>
    <w:div w:id="1759014909">
      <w:bodyDiv w:val="1"/>
      <w:marLeft w:val="0"/>
      <w:marRight w:val="0"/>
      <w:marTop w:val="0"/>
      <w:marBottom w:val="0"/>
      <w:divBdr>
        <w:top w:val="none" w:sz="0" w:space="0" w:color="auto"/>
        <w:left w:val="none" w:sz="0" w:space="0" w:color="auto"/>
        <w:bottom w:val="none" w:sz="0" w:space="0" w:color="auto"/>
        <w:right w:val="none" w:sz="0" w:space="0" w:color="auto"/>
      </w:divBdr>
      <w:divsChild>
        <w:div w:id="2095011255">
          <w:marLeft w:val="0"/>
          <w:marRight w:val="0"/>
          <w:marTop w:val="0"/>
          <w:marBottom w:val="0"/>
          <w:divBdr>
            <w:top w:val="none" w:sz="0" w:space="0" w:color="auto"/>
            <w:left w:val="none" w:sz="0" w:space="0" w:color="auto"/>
            <w:bottom w:val="none" w:sz="0" w:space="0" w:color="auto"/>
            <w:right w:val="none" w:sz="0" w:space="0" w:color="auto"/>
          </w:divBdr>
          <w:divsChild>
            <w:div w:id="2142919543">
              <w:marLeft w:val="0"/>
              <w:marRight w:val="0"/>
              <w:marTop w:val="0"/>
              <w:marBottom w:val="0"/>
              <w:divBdr>
                <w:top w:val="none" w:sz="0" w:space="0" w:color="auto"/>
                <w:left w:val="none" w:sz="0" w:space="0" w:color="auto"/>
                <w:bottom w:val="none" w:sz="0" w:space="0" w:color="auto"/>
                <w:right w:val="none" w:sz="0" w:space="0" w:color="auto"/>
              </w:divBdr>
              <w:divsChild>
                <w:div w:id="1427340370">
                  <w:marLeft w:val="0"/>
                  <w:marRight w:val="0"/>
                  <w:marTop w:val="0"/>
                  <w:marBottom w:val="0"/>
                  <w:divBdr>
                    <w:top w:val="none" w:sz="0" w:space="0" w:color="auto"/>
                    <w:left w:val="none" w:sz="0" w:space="0" w:color="auto"/>
                    <w:bottom w:val="none" w:sz="0" w:space="0" w:color="auto"/>
                    <w:right w:val="none" w:sz="0" w:space="0" w:color="auto"/>
                  </w:divBdr>
                  <w:divsChild>
                    <w:div w:id="1720400208">
                      <w:marLeft w:val="0"/>
                      <w:marRight w:val="0"/>
                      <w:marTop w:val="0"/>
                      <w:marBottom w:val="0"/>
                      <w:divBdr>
                        <w:top w:val="none" w:sz="0" w:space="0" w:color="auto"/>
                        <w:left w:val="none" w:sz="0" w:space="0" w:color="auto"/>
                        <w:bottom w:val="none" w:sz="0" w:space="0" w:color="auto"/>
                        <w:right w:val="none" w:sz="0" w:space="0" w:color="auto"/>
                      </w:divBdr>
                      <w:divsChild>
                        <w:div w:id="1962834989">
                          <w:marLeft w:val="0"/>
                          <w:marRight w:val="0"/>
                          <w:marTop w:val="0"/>
                          <w:marBottom w:val="0"/>
                          <w:divBdr>
                            <w:top w:val="none" w:sz="0" w:space="0" w:color="auto"/>
                            <w:left w:val="none" w:sz="0" w:space="0" w:color="auto"/>
                            <w:bottom w:val="none" w:sz="0" w:space="0" w:color="auto"/>
                            <w:right w:val="none" w:sz="0" w:space="0" w:color="auto"/>
                          </w:divBdr>
                          <w:divsChild>
                            <w:div w:id="1288701555">
                              <w:marLeft w:val="0"/>
                              <w:marRight w:val="0"/>
                              <w:marTop w:val="0"/>
                              <w:marBottom w:val="0"/>
                              <w:divBdr>
                                <w:top w:val="none" w:sz="0" w:space="0" w:color="auto"/>
                                <w:left w:val="none" w:sz="0" w:space="0" w:color="auto"/>
                                <w:bottom w:val="none" w:sz="0" w:space="0" w:color="auto"/>
                                <w:right w:val="none" w:sz="0" w:space="0" w:color="auto"/>
                              </w:divBdr>
                              <w:divsChild>
                                <w:div w:id="1774980716">
                                  <w:marLeft w:val="0"/>
                                  <w:marRight w:val="0"/>
                                  <w:marTop w:val="0"/>
                                  <w:marBottom w:val="0"/>
                                  <w:divBdr>
                                    <w:top w:val="single" w:sz="6" w:space="0" w:color="FADEC4"/>
                                    <w:left w:val="single" w:sz="6" w:space="0" w:color="FADEC4"/>
                                    <w:bottom w:val="single" w:sz="6" w:space="0" w:color="FADEC4"/>
                                    <w:right w:val="single" w:sz="6" w:space="0" w:color="FADEC4"/>
                                  </w:divBdr>
                                  <w:divsChild>
                                    <w:div w:id="1175147669">
                                      <w:marLeft w:val="0"/>
                                      <w:marRight w:val="0"/>
                                      <w:marTop w:val="0"/>
                                      <w:marBottom w:val="0"/>
                                      <w:divBdr>
                                        <w:top w:val="none" w:sz="0" w:space="0" w:color="auto"/>
                                        <w:left w:val="none" w:sz="0" w:space="0" w:color="auto"/>
                                        <w:bottom w:val="none" w:sz="0" w:space="0" w:color="auto"/>
                                        <w:right w:val="none" w:sz="0" w:space="0" w:color="auto"/>
                                      </w:divBdr>
                                      <w:divsChild>
                                        <w:div w:id="203931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59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image" Target="media/image26.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footer" Target="footer3.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3.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footer" Target="footer2.xm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microsoft.com/office/2007/relationships/stylesWithEffects" Target="stylesWithEffects.xml"/><Relationship Id="rId8" Type="http://schemas.openxmlformats.org/officeDocument/2006/relationships/header" Target="header1.xml"/><Relationship Id="rId51" Type="http://schemas.openxmlformats.org/officeDocument/2006/relationships/oleObject" Target="embeddings/oleObject22.bin"/><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hyperlink" Target="http://www.csres.com/detail/191801.html"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image" Target="media/image25.png"/><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1.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1D9795-069D-4958-A241-7CCF07D6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4294966400</TotalTime>
  <Pages>19</Pages>
  <Words>1952</Words>
  <Characters>11131</Characters>
  <Application>Microsoft Office Word</Application>
  <DocSecurity>0</DocSecurity>
  <Lines>92</Lines>
  <Paragraphs>26</Paragraphs>
  <ScaleCrop>false</ScaleCrop>
  <Company/>
  <LinksUpToDate>false</LinksUpToDate>
  <CharactersWithSpaces>13057</CharactersWithSpaces>
  <SharedDoc>false</SharedDoc>
  <HLinks>
    <vt:vector size="174" baseType="variant">
      <vt:variant>
        <vt:i4>-1992304713</vt:i4>
      </vt:variant>
      <vt:variant>
        <vt:i4>170</vt:i4>
      </vt:variant>
      <vt:variant>
        <vt:i4>0</vt:i4>
      </vt:variant>
      <vt:variant>
        <vt:i4>5</vt:i4>
      </vt:variant>
      <vt:variant>
        <vt:lpwstr>化学原料药行业清洁生产评价指标体系及起草说明（修改稿）1606.doc</vt:lpwstr>
      </vt:variant>
      <vt:variant>
        <vt:lpwstr>_Toc368639149</vt:lpwstr>
      </vt:variant>
      <vt:variant>
        <vt:i4>-1992304713</vt:i4>
      </vt:variant>
      <vt:variant>
        <vt:i4>164</vt:i4>
      </vt:variant>
      <vt:variant>
        <vt:i4>0</vt:i4>
      </vt:variant>
      <vt:variant>
        <vt:i4>5</vt:i4>
      </vt:variant>
      <vt:variant>
        <vt:lpwstr>化学原料药行业清洁生产评价指标体系及起草说明（修改稿）1606.doc</vt:lpwstr>
      </vt:variant>
      <vt:variant>
        <vt:lpwstr>_Toc368639148</vt:lpwstr>
      </vt:variant>
      <vt:variant>
        <vt:i4>-1992304713</vt:i4>
      </vt:variant>
      <vt:variant>
        <vt:i4>158</vt:i4>
      </vt:variant>
      <vt:variant>
        <vt:i4>0</vt:i4>
      </vt:variant>
      <vt:variant>
        <vt:i4>5</vt:i4>
      </vt:variant>
      <vt:variant>
        <vt:lpwstr>化学原料药行业清洁生产评价指标体系及起草说明（修改稿）1606.doc</vt:lpwstr>
      </vt:variant>
      <vt:variant>
        <vt:lpwstr>_Toc368639147</vt:lpwstr>
      </vt:variant>
      <vt:variant>
        <vt:i4>-1992304713</vt:i4>
      </vt:variant>
      <vt:variant>
        <vt:i4>152</vt:i4>
      </vt:variant>
      <vt:variant>
        <vt:i4>0</vt:i4>
      </vt:variant>
      <vt:variant>
        <vt:i4>5</vt:i4>
      </vt:variant>
      <vt:variant>
        <vt:lpwstr>化学原料药行业清洁生产评价指标体系及起草说明（修改稿）1606.doc</vt:lpwstr>
      </vt:variant>
      <vt:variant>
        <vt:lpwstr>_Toc368639146</vt:lpwstr>
      </vt:variant>
      <vt:variant>
        <vt:i4>-1992304713</vt:i4>
      </vt:variant>
      <vt:variant>
        <vt:i4>146</vt:i4>
      </vt:variant>
      <vt:variant>
        <vt:i4>0</vt:i4>
      </vt:variant>
      <vt:variant>
        <vt:i4>5</vt:i4>
      </vt:variant>
      <vt:variant>
        <vt:lpwstr>化学原料药行业清洁生产评价指标体系及起草说明（修改稿）1606.doc</vt:lpwstr>
      </vt:variant>
      <vt:variant>
        <vt:lpwstr>_Toc368639145</vt:lpwstr>
      </vt:variant>
      <vt:variant>
        <vt:i4>-1992304713</vt:i4>
      </vt:variant>
      <vt:variant>
        <vt:i4>140</vt:i4>
      </vt:variant>
      <vt:variant>
        <vt:i4>0</vt:i4>
      </vt:variant>
      <vt:variant>
        <vt:i4>5</vt:i4>
      </vt:variant>
      <vt:variant>
        <vt:lpwstr>化学原料药行业清洁生产评价指标体系及起草说明（修改稿）1606.doc</vt:lpwstr>
      </vt:variant>
      <vt:variant>
        <vt:lpwstr>_Toc368639144</vt:lpwstr>
      </vt:variant>
      <vt:variant>
        <vt:i4>-1992304713</vt:i4>
      </vt:variant>
      <vt:variant>
        <vt:i4>134</vt:i4>
      </vt:variant>
      <vt:variant>
        <vt:i4>0</vt:i4>
      </vt:variant>
      <vt:variant>
        <vt:i4>5</vt:i4>
      </vt:variant>
      <vt:variant>
        <vt:lpwstr>化学原料药行业清洁生产评价指标体系及起草说明（修改稿）1606.doc</vt:lpwstr>
      </vt:variant>
      <vt:variant>
        <vt:lpwstr>_Toc368639143</vt:lpwstr>
      </vt:variant>
      <vt:variant>
        <vt:i4>-1992304713</vt:i4>
      </vt:variant>
      <vt:variant>
        <vt:i4>128</vt:i4>
      </vt:variant>
      <vt:variant>
        <vt:i4>0</vt:i4>
      </vt:variant>
      <vt:variant>
        <vt:i4>5</vt:i4>
      </vt:variant>
      <vt:variant>
        <vt:lpwstr>化学原料药行业清洁生产评价指标体系及起草说明（修改稿）1606.doc</vt:lpwstr>
      </vt:variant>
      <vt:variant>
        <vt:lpwstr>_Toc368639142</vt:lpwstr>
      </vt:variant>
      <vt:variant>
        <vt:i4>-1992304713</vt:i4>
      </vt:variant>
      <vt:variant>
        <vt:i4>122</vt:i4>
      </vt:variant>
      <vt:variant>
        <vt:i4>0</vt:i4>
      </vt:variant>
      <vt:variant>
        <vt:i4>5</vt:i4>
      </vt:variant>
      <vt:variant>
        <vt:lpwstr>化学原料药行业清洁生产评价指标体系及起草说明（修改稿）1606.doc</vt:lpwstr>
      </vt:variant>
      <vt:variant>
        <vt:lpwstr>_Toc368639141</vt:lpwstr>
      </vt:variant>
      <vt:variant>
        <vt:i4>-1992304713</vt:i4>
      </vt:variant>
      <vt:variant>
        <vt:i4>116</vt:i4>
      </vt:variant>
      <vt:variant>
        <vt:i4>0</vt:i4>
      </vt:variant>
      <vt:variant>
        <vt:i4>5</vt:i4>
      </vt:variant>
      <vt:variant>
        <vt:lpwstr>化学原料药行业清洁生产评价指标体系及起草说明（修改稿）1606.doc</vt:lpwstr>
      </vt:variant>
      <vt:variant>
        <vt:lpwstr>_Toc368639140</vt:lpwstr>
      </vt:variant>
      <vt:variant>
        <vt:i4>-1992763465</vt:i4>
      </vt:variant>
      <vt:variant>
        <vt:i4>110</vt:i4>
      </vt:variant>
      <vt:variant>
        <vt:i4>0</vt:i4>
      </vt:variant>
      <vt:variant>
        <vt:i4>5</vt:i4>
      </vt:variant>
      <vt:variant>
        <vt:lpwstr>化学原料药行业清洁生产评价指标体系及起草说明（修改稿）1606.doc</vt:lpwstr>
      </vt:variant>
      <vt:variant>
        <vt:lpwstr>_Toc368639139</vt:lpwstr>
      </vt:variant>
      <vt:variant>
        <vt:i4>-1992763465</vt:i4>
      </vt:variant>
      <vt:variant>
        <vt:i4>104</vt:i4>
      </vt:variant>
      <vt:variant>
        <vt:i4>0</vt:i4>
      </vt:variant>
      <vt:variant>
        <vt:i4>5</vt:i4>
      </vt:variant>
      <vt:variant>
        <vt:lpwstr>化学原料药行业清洁生产评价指标体系及起草说明（修改稿）1606.doc</vt:lpwstr>
      </vt:variant>
      <vt:variant>
        <vt:lpwstr>_Toc368639138</vt:lpwstr>
      </vt:variant>
      <vt:variant>
        <vt:i4>-1992763465</vt:i4>
      </vt:variant>
      <vt:variant>
        <vt:i4>98</vt:i4>
      </vt:variant>
      <vt:variant>
        <vt:i4>0</vt:i4>
      </vt:variant>
      <vt:variant>
        <vt:i4>5</vt:i4>
      </vt:variant>
      <vt:variant>
        <vt:lpwstr>化学原料药行业清洁生产评价指标体系及起草说明（修改稿）1606.doc</vt:lpwstr>
      </vt:variant>
      <vt:variant>
        <vt:lpwstr>_Toc368639137</vt:lpwstr>
      </vt:variant>
      <vt:variant>
        <vt:i4>-1992763465</vt:i4>
      </vt:variant>
      <vt:variant>
        <vt:i4>92</vt:i4>
      </vt:variant>
      <vt:variant>
        <vt:i4>0</vt:i4>
      </vt:variant>
      <vt:variant>
        <vt:i4>5</vt:i4>
      </vt:variant>
      <vt:variant>
        <vt:lpwstr>化学原料药行业清洁生产评价指标体系及起草说明（修改稿）1606.doc</vt:lpwstr>
      </vt:variant>
      <vt:variant>
        <vt:lpwstr>_Toc368639136</vt:lpwstr>
      </vt:variant>
      <vt:variant>
        <vt:i4>-1992763465</vt:i4>
      </vt:variant>
      <vt:variant>
        <vt:i4>86</vt:i4>
      </vt:variant>
      <vt:variant>
        <vt:i4>0</vt:i4>
      </vt:variant>
      <vt:variant>
        <vt:i4>5</vt:i4>
      </vt:variant>
      <vt:variant>
        <vt:lpwstr>化学原料药行业清洁生产评价指标体系及起草说明（修改稿）1606.doc</vt:lpwstr>
      </vt:variant>
      <vt:variant>
        <vt:lpwstr>_Toc368639135</vt:lpwstr>
      </vt:variant>
      <vt:variant>
        <vt:i4>-1992763465</vt:i4>
      </vt:variant>
      <vt:variant>
        <vt:i4>80</vt:i4>
      </vt:variant>
      <vt:variant>
        <vt:i4>0</vt:i4>
      </vt:variant>
      <vt:variant>
        <vt:i4>5</vt:i4>
      </vt:variant>
      <vt:variant>
        <vt:lpwstr>化学原料药行业清洁生产评价指标体系及起草说明（修改稿）1606.doc</vt:lpwstr>
      </vt:variant>
      <vt:variant>
        <vt:lpwstr>_Toc368639134</vt:lpwstr>
      </vt:variant>
      <vt:variant>
        <vt:i4>-1992763465</vt:i4>
      </vt:variant>
      <vt:variant>
        <vt:i4>74</vt:i4>
      </vt:variant>
      <vt:variant>
        <vt:i4>0</vt:i4>
      </vt:variant>
      <vt:variant>
        <vt:i4>5</vt:i4>
      </vt:variant>
      <vt:variant>
        <vt:lpwstr>化学原料药行业清洁生产评价指标体系及起草说明（修改稿）1606.doc</vt:lpwstr>
      </vt:variant>
      <vt:variant>
        <vt:lpwstr>_Toc368639133</vt:lpwstr>
      </vt:variant>
      <vt:variant>
        <vt:i4>-1992763465</vt:i4>
      </vt:variant>
      <vt:variant>
        <vt:i4>68</vt:i4>
      </vt:variant>
      <vt:variant>
        <vt:i4>0</vt:i4>
      </vt:variant>
      <vt:variant>
        <vt:i4>5</vt:i4>
      </vt:variant>
      <vt:variant>
        <vt:lpwstr>化学原料药行业清洁生产评价指标体系及起草说明（修改稿）1606.doc</vt:lpwstr>
      </vt:variant>
      <vt:variant>
        <vt:lpwstr>_Toc368639132</vt:lpwstr>
      </vt:variant>
      <vt:variant>
        <vt:i4>-1992763465</vt:i4>
      </vt:variant>
      <vt:variant>
        <vt:i4>62</vt:i4>
      </vt:variant>
      <vt:variant>
        <vt:i4>0</vt:i4>
      </vt:variant>
      <vt:variant>
        <vt:i4>5</vt:i4>
      </vt:variant>
      <vt:variant>
        <vt:lpwstr>化学原料药行业清洁生产评价指标体系及起草说明（修改稿）1606.doc</vt:lpwstr>
      </vt:variant>
      <vt:variant>
        <vt:lpwstr>_Toc368639131</vt:lpwstr>
      </vt:variant>
      <vt:variant>
        <vt:i4>-1992763465</vt:i4>
      </vt:variant>
      <vt:variant>
        <vt:i4>56</vt:i4>
      </vt:variant>
      <vt:variant>
        <vt:i4>0</vt:i4>
      </vt:variant>
      <vt:variant>
        <vt:i4>5</vt:i4>
      </vt:variant>
      <vt:variant>
        <vt:lpwstr>化学原料药行业清洁生产评价指标体系及起草说明（修改稿）1606.doc</vt:lpwstr>
      </vt:variant>
      <vt:variant>
        <vt:lpwstr>_Toc368639130</vt:lpwstr>
      </vt:variant>
      <vt:variant>
        <vt:i4>-1992697929</vt:i4>
      </vt:variant>
      <vt:variant>
        <vt:i4>50</vt:i4>
      </vt:variant>
      <vt:variant>
        <vt:i4>0</vt:i4>
      </vt:variant>
      <vt:variant>
        <vt:i4>5</vt:i4>
      </vt:variant>
      <vt:variant>
        <vt:lpwstr>化学原料药行业清洁生产评价指标体系及起草说明（修改稿）1606.doc</vt:lpwstr>
      </vt:variant>
      <vt:variant>
        <vt:lpwstr>_Toc368639129</vt:lpwstr>
      </vt:variant>
      <vt:variant>
        <vt:i4>2359338</vt:i4>
      </vt:variant>
      <vt:variant>
        <vt:i4>45</vt:i4>
      </vt:variant>
      <vt:variant>
        <vt:i4>0</vt:i4>
      </vt:variant>
      <vt:variant>
        <vt:i4>5</vt:i4>
      </vt:variant>
      <vt:variant>
        <vt:lpwstr>http://www.csres.com/detail/191801.html</vt:lpwstr>
      </vt:variant>
      <vt:variant>
        <vt:lpwstr/>
      </vt:variant>
      <vt:variant>
        <vt:i4>1048632</vt:i4>
      </vt:variant>
      <vt:variant>
        <vt:i4>38</vt:i4>
      </vt:variant>
      <vt:variant>
        <vt:i4>0</vt:i4>
      </vt:variant>
      <vt:variant>
        <vt:i4>5</vt:i4>
      </vt:variant>
      <vt:variant>
        <vt:lpwstr/>
      </vt:variant>
      <vt:variant>
        <vt:lpwstr>_Toc455083116</vt:lpwstr>
      </vt:variant>
      <vt:variant>
        <vt:i4>1048632</vt:i4>
      </vt:variant>
      <vt:variant>
        <vt:i4>32</vt:i4>
      </vt:variant>
      <vt:variant>
        <vt:i4>0</vt:i4>
      </vt:variant>
      <vt:variant>
        <vt:i4>5</vt:i4>
      </vt:variant>
      <vt:variant>
        <vt:lpwstr/>
      </vt:variant>
      <vt:variant>
        <vt:lpwstr>_Toc455083115</vt:lpwstr>
      </vt:variant>
      <vt:variant>
        <vt:i4>1048632</vt:i4>
      </vt:variant>
      <vt:variant>
        <vt:i4>26</vt:i4>
      </vt:variant>
      <vt:variant>
        <vt:i4>0</vt:i4>
      </vt:variant>
      <vt:variant>
        <vt:i4>5</vt:i4>
      </vt:variant>
      <vt:variant>
        <vt:lpwstr/>
      </vt:variant>
      <vt:variant>
        <vt:lpwstr>_Toc455083114</vt:lpwstr>
      </vt:variant>
      <vt:variant>
        <vt:i4>1048632</vt:i4>
      </vt:variant>
      <vt:variant>
        <vt:i4>20</vt:i4>
      </vt:variant>
      <vt:variant>
        <vt:i4>0</vt:i4>
      </vt:variant>
      <vt:variant>
        <vt:i4>5</vt:i4>
      </vt:variant>
      <vt:variant>
        <vt:lpwstr/>
      </vt:variant>
      <vt:variant>
        <vt:lpwstr>_Toc455083113</vt:lpwstr>
      </vt:variant>
      <vt:variant>
        <vt:i4>1048632</vt:i4>
      </vt:variant>
      <vt:variant>
        <vt:i4>14</vt:i4>
      </vt:variant>
      <vt:variant>
        <vt:i4>0</vt:i4>
      </vt:variant>
      <vt:variant>
        <vt:i4>5</vt:i4>
      </vt:variant>
      <vt:variant>
        <vt:lpwstr/>
      </vt:variant>
      <vt:variant>
        <vt:lpwstr>_Toc455083112</vt:lpwstr>
      </vt:variant>
      <vt:variant>
        <vt:i4>1048632</vt:i4>
      </vt:variant>
      <vt:variant>
        <vt:i4>8</vt:i4>
      </vt:variant>
      <vt:variant>
        <vt:i4>0</vt:i4>
      </vt:variant>
      <vt:variant>
        <vt:i4>5</vt:i4>
      </vt:variant>
      <vt:variant>
        <vt:lpwstr/>
      </vt:variant>
      <vt:variant>
        <vt:lpwstr>_Toc455083111</vt:lpwstr>
      </vt:variant>
      <vt:variant>
        <vt:i4>1048632</vt:i4>
      </vt:variant>
      <vt:variant>
        <vt:i4>2</vt:i4>
      </vt:variant>
      <vt:variant>
        <vt:i4>0</vt:i4>
      </vt:variant>
      <vt:variant>
        <vt:i4>5</vt:i4>
      </vt:variant>
      <vt:variant>
        <vt:lpwstr/>
      </vt:variant>
      <vt:variant>
        <vt:lpwstr>_Toc455083110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朱凯</cp:lastModifiedBy>
  <cp:revision>53</cp:revision>
  <cp:lastPrinted>2016-09-21T07:52:00Z</cp:lastPrinted>
  <dcterms:created xsi:type="dcterms:W3CDTF">2016-07-15T05:11:00Z</dcterms:created>
  <dcterms:modified xsi:type="dcterms:W3CDTF">2016-09-23T08:16:00Z</dcterms:modified>
</cp:coreProperties>
</file>